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Microsoft YaHei" w:cs="Microsoft YaHei" w:eastAsia="Microsoft YaHei" w:hAnsi="Microsoft YaHei"/>
          <w:b/>
          <w:bCs/>
          <w:color w:val="1A365D"/>
          <w:sz w:val="32"/>
          <w:szCs w:val="32"/>
        </w:rPr>
        <w:t xml:space="preserve">CA-TPU 2026年Q1季度报告 — 数据审计文档</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项目</w:t>
      </w:r>
      <w:r>
        <w:rPr>
          <w:rFonts w:ascii="Microsoft YaHei" w:cs="Microsoft YaHei" w:eastAsia="Microsoft YaHei" w:hAnsi="Microsoft YaHei"/>
          <w:color w:val="2D3748"/>
          <w:sz w:val="20"/>
          <w:szCs w:val="20"/>
        </w:rPr>
        <w:t xml:space="preserve">：中亚贸易政策不确定性指数（CA-TPU）  </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报告期间</w:t>
      </w:r>
      <w:r>
        <w:rPr>
          <w:rFonts w:ascii="Microsoft YaHei" w:cs="Microsoft YaHei" w:eastAsia="Microsoft YaHei" w:hAnsi="Microsoft YaHei"/>
          <w:color w:val="2D3748"/>
          <w:sz w:val="20"/>
          <w:szCs w:val="20"/>
        </w:rPr>
        <w:t xml:space="preserve">：2026年1月–3月  </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编制单位</w:t>
      </w:r>
      <w:r>
        <w:rPr>
          <w:rFonts w:ascii="Microsoft YaHei" w:cs="Microsoft YaHei" w:eastAsia="Microsoft YaHei" w:hAnsi="Microsoft YaHei"/>
          <w:color w:val="2D3748"/>
          <w:sz w:val="20"/>
          <w:szCs w:val="20"/>
        </w:rPr>
        <w:t xml:space="preserve">：新疆大学经济与管理学院 CA-TPU指数项目组  </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版本</w:t>
      </w:r>
      <w:r>
        <w:rPr>
          <w:rFonts w:ascii="Microsoft YaHei" w:cs="Microsoft YaHei" w:eastAsia="Microsoft YaHei" w:hAnsi="Microsoft YaHei"/>
          <w:color w:val="2D3748"/>
          <w:sz w:val="20"/>
          <w:szCs w:val="20"/>
        </w:rPr>
        <w:t xml:space="preserve">：1.0  </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日期</w:t>
      </w:r>
      <w:r>
        <w:rPr>
          <w:rFonts w:ascii="Microsoft YaHei" w:cs="Microsoft YaHei" w:eastAsia="Microsoft YaHei" w:hAnsi="Microsoft YaHei"/>
          <w:color w:val="2D3748"/>
          <w:sz w:val="20"/>
          <w:szCs w:val="20"/>
        </w:rPr>
        <w:t xml:space="preserve">：2026年4月</w:t>
      </w:r>
    </w:p>
    <w:p>
      <w:pPr>
        <w:spacing w:after="100" w:before="100"/>
      </w:pPr>
    </w:p>
    <w:p>
      <w:pPr>
        <w:pBdr>
          <w:bottom w:val="single" w:color="2C5282" w:sz="6" w:space="4"/>
        </w:pBdr>
        <w:spacing w:after="120" w:before="300"/>
      </w:pPr>
      <w:r>
        <w:rPr>
          <w:rFonts w:ascii="Microsoft YaHei" w:cs="Microsoft YaHei" w:eastAsia="Microsoft YaHei" w:hAnsi="Microsoft YaHei"/>
          <w:b/>
          <w:bCs/>
          <w:color w:val="1A365D"/>
          <w:sz w:val="26"/>
          <w:szCs w:val="26"/>
        </w:rPr>
        <w:t xml:space="preserve">1. 概述</w:t>
      </w:r>
    </w:p>
    <w:p>
      <w:pPr>
        <w:spacing w:after="120" w:line="340"/>
        <w:jc w:val="both"/>
      </w:pPr>
      <w:r>
        <w:rPr>
          <w:rFonts w:ascii="Microsoft YaHei" w:cs="Microsoft YaHei" w:eastAsia="Microsoft YaHei" w:hAnsi="Microsoft YaHei"/>
          <w:color w:val="2D3748"/>
          <w:sz w:val="20"/>
          <w:szCs w:val="20"/>
        </w:rPr>
        <w:t xml:space="preserve">本文档描述了CA-TPU 2026年Q1季度报告所使用的数据来源、SQL查询和分析方法。所有查询均在PostgreSQL数据库上执行，该数据库存储了来自中亚四国8家俄语媒体的新闻文章。</w:t>
      </w:r>
    </w:p>
    <w:p>
      <w:pPr>
        <w:spacing w:after="100" w:before="240"/>
      </w:pPr>
      <w:r>
        <w:rPr>
          <w:rFonts w:ascii="Microsoft YaHei" w:cs="Microsoft YaHei" w:eastAsia="Microsoft YaHei" w:hAnsi="Microsoft YaHei"/>
          <w:b/>
          <w:bCs/>
          <w:color w:val="2C5282"/>
          <w:sz w:val="22"/>
          <w:szCs w:val="22"/>
        </w:rPr>
        <w:t xml:space="preserve">1.1 数据来源</w:t>
      </w:r>
    </w:p>
    <w:p>
      <w:pPr>
        <w:spacing w:before="8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项目</w:t>
            </w:r>
          </w:p>
        </w:tc>
        <w:tc>
          <w:tcPr>
            <w:tcW w:type="dxa" w:w="4513"/>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说明</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数据库</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PostgreSQL</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主表</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`[news_table]`</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关键字段</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`ymd`（日期字符串YYYYMMDD）、`country`（kz/uz/kg/tj）、`site`（来源媒体）、`t`/`p`/`u`（关键词匹配数组，TEXT类型，可转换为JSONB）、`ror`（布尔值：OR命中）、`rand`（布尔值：AND命中）</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覆盖国家</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哈萨克斯坦(kz)、乌兹别克斯坦(uz)、吉尔吉斯斯坦(kg)、塔吉克斯坦(tj)</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媒体来源</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每国2家，共8家（详见1.2）</w:t>
            </w:r>
          </w:p>
        </w:tc>
      </w:tr>
      <w:tr>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时间跨度</w:t>
            </w:r>
          </w:p>
        </w:tc>
        <w:tc>
          <w:tcPr>
            <w:tcW w:type="dxa" w:w="4513"/>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2009年至今（2013年起数据稳定）</w:t>
            </w:r>
          </w:p>
        </w:tc>
      </w:tr>
      <w:tr>
        <w:tc>
          <w:tcPr>
            <w:tcW w:type="dxa" w:w="4513"/>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总数据量</w:t>
            </w:r>
          </w:p>
        </w:tc>
        <w:tc>
          <w:tcPr>
            <w:tcW w:type="dxa" w:w="4513"/>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超过308万篇文章</w:t>
            </w:r>
          </w:p>
        </w:tc>
      </w:tr>
    </w:tbl>
    <w:p>
      <w:pPr>
        <w:spacing w:after="80"/>
      </w:pPr>
    </w:p>
    <w:p>
      <w:pPr>
        <w:spacing w:after="100" w:before="240"/>
      </w:pPr>
      <w:r>
        <w:rPr>
          <w:rFonts w:ascii="Microsoft YaHei" w:cs="Microsoft YaHei" w:eastAsia="Microsoft YaHei" w:hAnsi="Microsoft YaHei"/>
          <w:b/>
          <w:bCs/>
          <w:color w:val="2C5282"/>
          <w:sz w:val="22"/>
          <w:szCs w:val="22"/>
        </w:rPr>
        <w:t xml:space="preserve">1.2 媒体来源</w:t>
      </w:r>
    </w:p>
    <w:p>
      <w:pPr>
        <w:spacing w:before="8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8"/>
        <w:gridCol w:w="3008"/>
        <w:gridCol w:w="3010"/>
      </w:tblGrid>
      <w:tr>
        <w:tc>
          <w:tcPr>
            <w:tcW w:type="dxa" w:w="3008"/>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国家</w:t>
            </w:r>
          </w:p>
        </w:tc>
        <w:tc>
          <w:tcPr>
            <w:tcW w:type="dxa" w:w="3008"/>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媒体1</w:t>
            </w:r>
          </w:p>
        </w:tc>
        <w:tc>
          <w:tcPr>
            <w:tcW w:type="dxa" w:w="3010"/>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媒体2</w:t>
            </w:r>
          </w:p>
        </w:tc>
      </w:tr>
      <w:tr>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KZ</w:t>
            </w:r>
          </w:p>
        </w:tc>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inform.kz（综合新闻）</w:t>
            </w:r>
          </w:p>
        </w:tc>
        <w:tc>
          <w:tcPr>
            <w:tcW w:type="dxa" w:w="3010"/>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forbes.kz（财经媒体）</w:t>
            </w:r>
          </w:p>
        </w:tc>
      </w:tr>
      <w:tr>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UZ</w:t>
            </w:r>
          </w:p>
        </w:tc>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uza.uz（国家通讯社）</w:t>
            </w:r>
          </w:p>
        </w:tc>
        <w:tc>
          <w:tcPr>
            <w:tcW w:type="dxa" w:w="3010"/>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kun.uz（综合新闻）</w:t>
            </w:r>
          </w:p>
        </w:tc>
      </w:tr>
      <w:tr>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KG</w:t>
            </w:r>
          </w:p>
        </w:tc>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kaktus.media（综合新闻）</w:t>
            </w:r>
          </w:p>
        </w:tc>
        <w:tc>
          <w:tcPr>
            <w:tcW w:type="dxa" w:w="3010"/>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24.kg（综合新闻）</w:t>
            </w:r>
          </w:p>
        </w:tc>
      </w:tr>
      <w:tr>
        <w:tc>
          <w:tcPr>
            <w:tcW w:type="dxa" w:w="3008"/>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TJ</w:t>
            </w:r>
          </w:p>
        </w:tc>
        <w:tc>
          <w:tcPr>
            <w:tcW w:type="dxa" w:w="3008"/>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asiaplustj.info（综合新闻）</w:t>
            </w:r>
          </w:p>
        </w:tc>
        <w:tc>
          <w:tcPr>
            <w:tcW w:type="dxa" w:w="3010"/>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avesta.tj（综合新闻）</w:t>
            </w:r>
          </w:p>
        </w:tc>
      </w:tr>
    </w:tbl>
    <w:p>
      <w:pPr>
        <w:spacing w:after="80"/>
      </w:pPr>
    </w:p>
    <w:p>
      <w:pPr>
        <w:spacing w:after="100" w:before="240"/>
      </w:pPr>
      <w:r>
        <w:rPr>
          <w:rFonts w:ascii="Microsoft YaHei" w:cs="Microsoft YaHei" w:eastAsia="Microsoft YaHei" w:hAnsi="Microsoft YaHei"/>
          <w:b/>
          <w:bCs/>
          <w:color w:val="2C5282"/>
          <w:sz w:val="22"/>
          <w:szCs w:val="22"/>
        </w:rPr>
        <w:t xml:space="preserve">1.3 核心定义</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OR命中</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ror = TRUE</w:t>
      </w:r>
      <w:r>
        <w:rPr>
          <w:rFonts w:ascii="Microsoft YaHei" w:cs="Microsoft YaHei" w:eastAsia="Microsoft YaHei" w:hAnsi="Microsoft YaHei"/>
          <w:color w:val="2D3748"/>
          <w:sz w:val="20"/>
          <w:szCs w:val="20"/>
        </w:rPr>
        <w:t xml:space="preserve">）：文章至少匹配了贸易(T)、政策(P)、不确定性(U)三类关键词中的任意一类</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AND命中</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rand = TRUE</w:t>
      </w:r>
      <w:r>
        <w:rPr>
          <w:rFonts w:ascii="Microsoft YaHei" w:cs="Microsoft YaHei" w:eastAsia="Microsoft YaHei" w:hAnsi="Microsoft YaHei"/>
          <w:color w:val="2D3748"/>
          <w:sz w:val="20"/>
          <w:szCs w:val="20"/>
        </w:rPr>
        <w:t xml:space="preserve">）：文章同时匹配了三类关键词（T∩P∩U），即TPU相关报道</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f_ratio</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AND命中数 / OR命中数</w:t>
      </w:r>
      <w:r>
        <w:rPr>
          <w:rFonts w:ascii="Microsoft YaHei" w:cs="Microsoft YaHei" w:eastAsia="Microsoft YaHei" w:hAnsi="Microsoft YaHei"/>
          <w:color w:val="2D3748"/>
          <w:sz w:val="20"/>
          <w:szCs w:val="20"/>
        </w:rPr>
        <w:t xml:space="preserve"> —— 涉及政策相关话题的文章中，同时覆盖贸易政策不确定性三个维度的比例</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OR覆盖率</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OR命中数 / 新闻总量</w:t>
      </w:r>
      <w:r>
        <w:rPr>
          <w:rFonts w:ascii="Microsoft YaHei" w:cs="Microsoft YaHei" w:eastAsia="Microsoft YaHei" w:hAnsi="Microsoft YaHei"/>
          <w:color w:val="2D3748"/>
          <w:sz w:val="20"/>
          <w:szCs w:val="20"/>
        </w:rPr>
        <w:t xml:space="preserve"> —— 所有文章中涉及贸易、政策或不确定性话题的比例</w:t>
      </w:r>
    </w:p>
    <w:p>
      <w:pPr>
        <w:spacing w:after="100" w:before="100"/>
      </w:pPr>
    </w:p>
    <w:p>
      <w:pPr>
        <w:pBdr>
          <w:bottom w:val="single" w:color="2C5282" w:sz="6" w:space="4"/>
        </w:pBdr>
        <w:spacing w:after="120" w:before="300"/>
      </w:pPr>
      <w:r>
        <w:rPr>
          <w:rFonts w:ascii="Microsoft YaHei" w:cs="Microsoft YaHei" w:eastAsia="Microsoft YaHei" w:hAnsi="Microsoft YaHei"/>
          <w:b/>
          <w:bCs/>
          <w:color w:val="1A365D"/>
          <w:sz w:val="26"/>
          <w:szCs w:val="26"/>
        </w:rPr>
        <w:t xml:space="preserve">2. 查询与方法</w:t>
      </w:r>
    </w:p>
    <w:p>
      <w:pPr>
        <w:spacing w:after="100" w:before="240"/>
      </w:pPr>
      <w:r>
        <w:rPr>
          <w:rFonts w:ascii="Microsoft YaHei" w:cs="Microsoft YaHei" w:eastAsia="Microsoft YaHei" w:hAnsi="Microsoft YaHei"/>
          <w:b/>
          <w:bCs/>
          <w:color w:val="2C5282"/>
          <w:sz w:val="22"/>
          <w:szCs w:val="22"/>
        </w:rPr>
        <w:t xml:space="preserve">2.1 查询1：季度总览（当季 vs 上季 vs 去年同季）</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：按国家对比Q1 2026、Q4 2025、Q1 2025三个季度的新闻总量、OR/AND命中数和f_ratio，为季度报告提供核心比较框架。</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Q1-quarterly-overview.csv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WITH quarterly AS (
    SELECT 
        CASE 
            WHEN ymd BETWEEN '20260101' AND '20260331' THEN '2026-Q1'
            WHEN ymd BETWEEN '20251001' AND '20251231' THEN '2025-Q4'
            WHEN ymd BETWEEN '20250101' AND '20250331' THEN '2025-Q1'
        END AS quarter,
        country,
        COUNT(*) AS total,
        SUM(CASE WHEN ror THEN 1 ELSE 0 END) AS or_count,
        SUM(CASE WHEN rand THEN 1 ELSE 0 END) AS and_count
    FROM [news_table]
    WHERE (ymd BETWEEN '20260101' AND '20260331'
        OR ymd BETWEEN '20251001' AND '20251231'
        OR ymd BETWEEN '20250101' AND '20250331')
      AND country IN ('kz','uz','kg','tj')
    GROUP BY 1, 2
)
SELECT quarter, country, total, or_count, and_count,
    ROUND(and_count::numeric / NULLIF(or_count, 0), 4) AS f_ratio,
    ROUND(or_count::numeric / NULLIF(total, 0), 4) AS or_coverage
FROM quarterly
ORDER BY quarter, country;</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使用</w:t>
      </w:r>
      <w:r>
        <w:rPr>
          <w:rFonts w:ascii="Courier New" w:cs="Courier New" w:eastAsia="Courier New" w:hAnsi="Courier New"/>
          <w:color w:val="4a5568"/>
          <w:sz w:val="18"/>
          <w:szCs w:val="18"/>
        </w:rPr>
        <w:t xml:space="preserve">ymd</w:t>
      </w:r>
      <w:r>
        <w:rPr>
          <w:rFonts w:ascii="Microsoft YaHei" w:cs="Microsoft YaHei" w:eastAsia="Microsoft YaHei" w:hAnsi="Microsoft YaHei"/>
          <w:color w:val="2D3748"/>
          <w:sz w:val="20"/>
          <w:szCs w:val="20"/>
        </w:rPr>
        <w:t xml:space="preserve">日期字符串将文章分入三个季度区间</w:t>
      </w:r>
    </w:p>
    <w:p>
      <w:pPr>
        <w:spacing w:after="120" w:line="340"/>
        <w:jc w:val="both"/>
      </w:pPr>
      <w:r>
        <w:rPr>
          <w:rFonts w:ascii="Microsoft YaHei" w:cs="Microsoft YaHei" w:eastAsia="Microsoft YaHei" w:hAnsi="Microsoft YaHei"/>
          <w:color w:val="2D3748"/>
          <w:sz w:val="20"/>
          <w:szCs w:val="20"/>
        </w:rPr>
        <w:t xml:space="preserve">- 按国家×季度统计新闻总量、OR命中数、AND命中数</w:t>
      </w:r>
    </w:p>
    <w:p>
      <w:pPr>
        <w:spacing w:after="120" w:line="340"/>
        <w:jc w:val="both"/>
      </w:pPr>
      <w:r>
        <w:rPr>
          <w:rFonts w:ascii="Microsoft YaHei" w:cs="Microsoft YaHei" w:eastAsia="Microsoft YaHei" w:hAnsi="Microsoft YaHei"/>
          <w:color w:val="2D3748"/>
          <w:sz w:val="20"/>
          <w:szCs w:val="20"/>
        </w:rPr>
        <w:t xml:space="preserve">- 计算f_ratio（AND/OR）和OR覆盖率（OR/总量）</w:t>
      </w:r>
    </w:p>
    <w:p>
      <w:pPr>
        <w:spacing w:after="120" w:line="340"/>
        <w:jc w:val="both"/>
      </w:pPr>
      <w:r>
        <w:rPr>
          <w:rFonts w:ascii="Microsoft YaHei" w:cs="Microsoft YaHei" w:eastAsia="Microsoft YaHei" w:hAnsi="Microsoft YaHei"/>
          <w:color w:val="2D3748"/>
          <w:sz w:val="20"/>
          <w:szCs w:val="20"/>
        </w:rPr>
        <w:t xml:space="preserve">- 报告中的环比和同比变化率基于本查询输出计算</w:t>
      </w:r>
    </w:p>
    <w:p>
      <w:pPr>
        <w:spacing w:after="100" w:before="100"/>
      </w:pPr>
    </w:p>
    <w:p>
      <w:pPr>
        <w:spacing w:after="100" w:before="240"/>
      </w:pPr>
      <w:r>
        <w:rPr>
          <w:rFonts w:ascii="Microsoft YaHei" w:cs="Microsoft YaHei" w:eastAsia="Microsoft YaHei" w:hAnsi="Microsoft YaHei"/>
          <w:b/>
          <w:bCs/>
          <w:color w:val="2C5282"/>
          <w:sz w:val="22"/>
          <w:szCs w:val="22"/>
        </w:rPr>
        <w:t xml:space="preserve">2.2 查询2：季度内月度走势</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：将Q1 2026拆分为1月、2月、3月三个月，按国家展示季度内TPU强度的演变节奏。</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Q2-monthly-trend.csv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to_char(to_date(ymd, 'YYYYMMDD'), 'YYYY-MM') AS month,
    country,
    COUNT(*) AS total,
    SUM(CASE WHEN ror THEN 1 ELSE 0 END) AS or_count,
    SUM(CASE WHEN rand THEN 1 ELSE 0 END) AS and_count,
    ROUND(SUM(CASE WHEN rand THEN 1 ELSE 0 END)::numeric / 
          NULLIF(SUM(CASE WHEN ror THEN 1 ELSE 0 END), 0), 4) AS f_ratio
FROM [news_table]
WHERE ymd BETWEEN '20260101' AND '20260331'
  AND country IN ('kz','uz','kg','tj')
GROUP BY 1, 2
ORDER BY 1, 2;</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将</w:t>
      </w:r>
      <w:r>
        <w:rPr>
          <w:rFonts w:ascii="Courier New" w:cs="Courier New" w:eastAsia="Courier New" w:hAnsi="Courier New"/>
          <w:color w:val="4a5568"/>
          <w:sz w:val="18"/>
          <w:szCs w:val="18"/>
        </w:rPr>
        <w:t xml:space="preserve">ymd</w:t>
      </w:r>
      <w:r>
        <w:rPr>
          <w:rFonts w:ascii="Microsoft YaHei" w:cs="Microsoft YaHei" w:eastAsia="Microsoft YaHei" w:hAnsi="Microsoft YaHei"/>
          <w:color w:val="2D3748"/>
          <w:sz w:val="20"/>
          <w:szCs w:val="20"/>
        </w:rPr>
        <w:t xml:space="preserve">转换为</w:t>
      </w:r>
      <w:r>
        <w:rPr>
          <w:rFonts w:ascii="Courier New" w:cs="Courier New" w:eastAsia="Courier New" w:hAnsi="Courier New"/>
          <w:color w:val="4a5568"/>
          <w:sz w:val="18"/>
          <w:szCs w:val="18"/>
        </w:rPr>
        <w:t xml:space="preserve">YYYY-MM</w:t>
      </w:r>
      <w:r>
        <w:rPr>
          <w:rFonts w:ascii="Microsoft YaHei" w:cs="Microsoft YaHei" w:eastAsia="Microsoft YaHei" w:hAnsi="Microsoft YaHei"/>
          <w:color w:val="2D3748"/>
          <w:sz w:val="20"/>
          <w:szCs w:val="20"/>
        </w:rPr>
        <w:t xml:space="preserve">月份标签，按月份×国家分组</w:t>
      </w:r>
    </w:p>
    <w:p>
      <w:pPr>
        <w:spacing w:after="120" w:line="340"/>
        <w:jc w:val="both"/>
      </w:pPr>
      <w:r>
        <w:rPr>
          <w:rFonts w:ascii="Microsoft YaHei" w:cs="Microsoft YaHei" w:eastAsia="Microsoft YaHei" w:hAnsi="Microsoft YaHei"/>
          <w:color w:val="2D3748"/>
          <w:sz w:val="20"/>
          <w:szCs w:val="20"/>
        </w:rPr>
        <w:t xml:space="preserve">- 用于分析各国TPU指标在季度内的变化轨迹</w:t>
      </w:r>
    </w:p>
    <w:p>
      <w:pPr>
        <w:spacing w:after="120" w:line="340"/>
        <w:jc w:val="both"/>
      </w:pPr>
      <w:r>
        <w:rPr>
          <w:rFonts w:ascii="Microsoft YaHei" w:cs="Microsoft YaHei" w:eastAsia="Microsoft YaHei" w:hAnsi="Microsoft YaHei"/>
          <w:color w:val="2D3748"/>
          <w:sz w:val="20"/>
          <w:szCs w:val="20"/>
        </w:rPr>
        <w:t xml:space="preserve">- 报告中据此发现哈萨克斯坦f_ratio逐月递减而塔吉克斯坦3月骤升等特征</w:t>
      </w:r>
    </w:p>
    <w:p>
      <w:pPr>
        <w:spacing w:after="100" w:before="100"/>
      </w:pPr>
    </w:p>
    <w:p>
      <w:pPr>
        <w:spacing w:after="100" w:before="240"/>
      </w:pPr>
      <w:r>
        <w:rPr>
          <w:rFonts w:ascii="Microsoft YaHei" w:cs="Microsoft YaHei" w:eastAsia="Microsoft YaHei" w:hAnsi="Microsoft YaHei"/>
          <w:b/>
          <w:bCs/>
          <w:color w:val="2C5282"/>
          <w:sz w:val="22"/>
          <w:szCs w:val="22"/>
        </w:rPr>
        <w:t xml:space="preserve">2.3 查询3：季度内周度趋势</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：提供周级别的细粒度数据（Q1共13个完整周），精确定位不确定性冲击的峰值、谷底和再次抬升时点。</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Q3-weekly-trend.csv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EXTRACT(WEEK FROM to_date(ymd, 'YYYYMMDD')) AS week_num,
    MIN(to_date(ymd, 'YYYYMMDD')) AS week_start,
    MAX(to_date(ymd, 'YYYYMMDD')) AS week_end,
    COUNT(*) AS total,
    SUM(CASE WHEN ror THEN 1 ELSE 0 END) AS hit_or,
    SUM(CASE WHEN rand THEN 1 ELSE 0 END) AS hit_and,
    ROUND(SUM(CASE WHEN rand THEN 1 ELSE 0 END)::numeric / 
          NULLIF(SUM(CASE WHEN ror THEN 1 ELSE 0 END), 0), 4) AS f_ratio
FROM [news_table]
WHERE ymd BETWEEN '20260101' AND '20260331'
  AND country IN ('kz','uz','kg','tj')
GROUP BY 1 ORDER BY 1;</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使用ISO周数（</w:t>
      </w:r>
      <w:r>
        <w:rPr>
          <w:rFonts w:ascii="Courier New" w:cs="Courier New" w:eastAsia="Courier New" w:hAnsi="Courier New"/>
          <w:color w:val="4a5568"/>
          <w:sz w:val="18"/>
          <w:szCs w:val="18"/>
        </w:rPr>
        <w:t xml:space="preserve">EXTRACT(WEEK ...)</w:t>
      </w:r>
      <w:r>
        <w:rPr>
          <w:rFonts w:ascii="Microsoft YaHei" w:cs="Microsoft YaHei" w:eastAsia="Microsoft YaHei" w:hAnsi="Microsoft YaHei"/>
          <w:color w:val="2D3748"/>
          <w:sz w:val="20"/>
          <w:szCs w:val="20"/>
        </w:rPr>
        <w:t xml:space="preserve">）将文章按日历周分组</w:t>
      </w:r>
    </w:p>
    <w:p>
      <w:pPr>
        <w:spacing w:after="120" w:line="340"/>
        <w:jc w:val="both"/>
      </w:pPr>
      <w:r>
        <w:rPr>
          <w:rFonts w:ascii="Microsoft YaHei" w:cs="Microsoft YaHei" w:eastAsia="Microsoft YaHei" w:hAnsi="Microsoft YaHei"/>
          <w:color w:val="2D3748"/>
          <w:sz w:val="20"/>
          <w:szCs w:val="20"/>
        </w:rPr>
        <w:t xml:space="preserve">- 跨四国汇总，展示区域级别的周度脉搏</w:t>
      </w:r>
    </w:p>
    <w:p>
      <w:pPr>
        <w:spacing w:after="120" w:line="340"/>
        <w:jc w:val="both"/>
      </w:pPr>
      <w:r>
        <w:rPr>
          <w:rFonts w:ascii="Microsoft YaHei" w:cs="Microsoft YaHei" w:eastAsia="Microsoft YaHei" w:hAnsi="Microsoft YaHei"/>
          <w:color w:val="2D3748"/>
          <w:sz w:val="20"/>
          <w:szCs w:val="20"/>
        </w:rPr>
        <w:t xml:space="preserve">- 第1周和第14周为不完整周（天数较少），报告在解读时已说明</w:t>
      </w:r>
    </w:p>
    <w:p>
      <w:pPr>
        <w:spacing w:after="120" w:line="340"/>
        <w:jc w:val="both"/>
      </w:pPr>
      <w:r>
        <w:rPr>
          <w:rFonts w:ascii="Microsoft YaHei" w:cs="Microsoft YaHei" w:eastAsia="Microsoft YaHei" w:hAnsi="Microsoft YaHei"/>
          <w:color w:val="2D3748"/>
          <w:sz w:val="20"/>
          <w:szCs w:val="20"/>
        </w:rPr>
        <w:t xml:space="preserve">- 关键发现：W2为季内峰值（关税生效首周），W7-W9为谷底，W10-W13出现二次抬升</w:t>
      </w:r>
    </w:p>
    <w:p>
      <w:pPr>
        <w:spacing w:after="100" w:before="100"/>
      </w:pPr>
    </w:p>
    <w:p>
      <w:pPr>
        <w:spacing w:after="100" w:before="240"/>
      </w:pPr>
      <w:r>
        <w:rPr>
          <w:rFonts w:ascii="Microsoft YaHei" w:cs="Microsoft YaHei" w:eastAsia="Microsoft YaHei" w:hAnsi="Microsoft YaHei"/>
          <w:b/>
          <w:bCs/>
          <w:color w:val="2C5282"/>
          <w:sz w:val="22"/>
          <w:szCs w:val="22"/>
        </w:rPr>
        <w:t xml:space="preserve">2.4 查询4：各站点季度贡献度</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：将AND命中按8家媒体逐一拆解，识别哪些新闻来源对TPU信号贡献最大，评估是否存在集中度风险。</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Q4-site-contribution.csv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country, site,
    COUNT(*) AS total,
    SUM(CASE WHEN ror THEN 1 ELSE 0 END) AS or_count,
    SUM(CASE WHEN rand THEN 1 ELSE 0 END) AS and_count,
    ROUND(SUM(CASE WHEN rand THEN 1 ELSE 0 END)::numeric / 
          NULLIF(SUM(CASE WHEN ror THEN 1 ELSE 0 END), 0), 4) AS f_ratio,
    ROUND(SUM(CASE WHEN ror THEN 1 ELSE 0 END)::numeric / 
          NULLIF(COUNT(*), 0), 4) AS or_coverage
FROM [news_table]
WHERE ymd BETWEEN '20260101' AND '20260331'
  AND country IN ('kz','uz','kg','tj')
GROUP BY 1, 2
ORDER BY 1, and_count DESC;</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按国家×站点分组，展示每家媒体的独立贡献</w:t>
      </w:r>
    </w:p>
    <w:p>
      <w:pPr>
        <w:spacing w:after="120" w:line="340"/>
        <w:jc w:val="both"/>
      </w:pPr>
      <w:r>
        <w:rPr>
          <w:rFonts w:ascii="Microsoft YaHei" w:cs="Microsoft YaHei" w:eastAsia="Microsoft YaHei" w:hAnsi="Microsoft YaHei"/>
          <w:color w:val="2D3748"/>
          <w:sz w:val="20"/>
          <w:szCs w:val="20"/>
        </w:rPr>
        <w:t xml:space="preserve">- 计算各站点的f_ratio和OR覆盖率</w:t>
      </w:r>
    </w:p>
    <w:p>
      <w:pPr>
        <w:spacing w:after="120" w:line="340"/>
        <w:jc w:val="both"/>
      </w:pPr>
      <w:r>
        <w:rPr>
          <w:rFonts w:ascii="Microsoft YaHei" w:cs="Microsoft YaHei" w:eastAsia="Microsoft YaHei" w:hAnsi="Microsoft YaHei"/>
          <w:color w:val="2D3748"/>
          <w:sz w:val="20"/>
          <w:szCs w:val="20"/>
        </w:rPr>
        <w:t xml:space="preserve">- 关键发现：uza.uz和forbes.kz的f_ratio几乎一致（0.1275 vs 0.1271），两家合计贡献42.5%的AND命中</w:t>
      </w:r>
    </w:p>
    <w:p>
      <w:pPr>
        <w:spacing w:after="100" w:before="100"/>
      </w:pPr>
    </w:p>
    <w:p>
      <w:pPr>
        <w:spacing w:after="100" w:before="240"/>
      </w:pPr>
      <w:r>
        <w:rPr>
          <w:rFonts w:ascii="Microsoft YaHei" w:cs="Microsoft YaHei" w:eastAsia="Microsoft YaHei" w:hAnsi="Microsoft YaHei"/>
          <w:b/>
          <w:bCs/>
          <w:color w:val="2C5282"/>
          <w:sz w:val="22"/>
          <w:szCs w:val="22"/>
        </w:rPr>
        <w:t xml:space="preserve">2.5 查询5：季度高频关键词（按T/P/U分类）</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：从AND命中文章中提取最高频的匹配关键词，识别驱动TPU信号的实质性话题。</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Q5-top-keywords-global.csv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kw_type, kw_value, COUNT(*) AS freq
FROM (
    SELECT 'T' AS kw_type, jsonb_array_elements_text(t::jsonb) AS kw_value
    FROM [news_table]
    WHERE ymd BETWEEN '20260101' AND '20260331'
      AND rand IS TRUE AND country IN ('kz','uz','kg','tj')
      AND t IS NOT NULL AND t != '' AND t != 'NaN'
    UNION ALL
    SELECT 'P', jsonb_array_elements_text(p::jsonb)
    FROM [news_table]
    WHERE ymd BETWEEN '20260101' AND '20260331'
      AND rand IS TRUE AND country IN ('kz','uz','kg','tj')
      AND p IS NOT NULL AND p != '' AND p != 'NaN'
    UNION ALL
    SELECT 'U', jsonb_array_elements_text(u::jsonb)
    FROM [news_table]
    WHERE ymd BETWEEN '20260101' AND '20260331'
      AND rand IS TRUE AND country IN ('kz','uz','kg','tj')
      AND u IS NOT NULL AND u != '' AND u != 'NaN'
) sub
GROUP BY 1, 2
ORDER BY 1, freq DESC
LIMIT 60;</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w:t>
      </w:r>
      <w:r>
        <w:rPr>
          <w:rFonts w:ascii="Courier New" w:cs="Courier New" w:eastAsia="Courier New" w:hAnsi="Courier New"/>
          <w:color w:val="4a5568"/>
          <w:sz w:val="18"/>
          <w:szCs w:val="18"/>
        </w:rPr>
        <w:t xml:space="preserve">t</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p</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u</w:t>
      </w:r>
      <w:r>
        <w:rPr>
          <w:rFonts w:ascii="Microsoft YaHei" w:cs="Microsoft YaHei" w:eastAsia="Microsoft YaHei" w:hAnsi="Microsoft YaHei"/>
          <w:color w:val="2D3748"/>
          <w:sz w:val="20"/>
          <w:szCs w:val="20"/>
        </w:rPr>
        <w:t xml:space="preserve">字段以TEXT形式存储JSON数组，需先转换为JSONB再展开（</w:t>
      </w:r>
      <w:r>
        <w:rPr>
          <w:rFonts w:ascii="Courier New" w:cs="Courier New" w:eastAsia="Courier New" w:hAnsi="Courier New"/>
          <w:color w:val="4a5568"/>
          <w:sz w:val="18"/>
          <w:szCs w:val="18"/>
        </w:rPr>
        <w:t xml:space="preserve">::jsonb</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过滤NULL、空字符串和'NaN'以防止转换报错</w:t>
      </w:r>
    </w:p>
    <w:p>
      <w:pPr>
        <w:spacing w:after="120" w:line="340"/>
        <w:jc w:val="both"/>
      </w:pPr>
      <w:r>
        <w:rPr>
          <w:rFonts w:ascii="Microsoft YaHei" w:cs="Microsoft YaHei" w:eastAsia="Microsoft YaHei" w:hAnsi="Microsoft YaHei"/>
          <w:color w:val="2D3748"/>
          <w:sz w:val="20"/>
          <w:szCs w:val="20"/>
        </w:rPr>
        <w:t xml:space="preserve">- 仅包含AND命中文章（</w:t>
      </w:r>
      <w:r>
        <w:rPr>
          <w:rFonts w:ascii="Courier New" w:cs="Courier New" w:eastAsia="Courier New" w:hAnsi="Courier New"/>
          <w:color w:val="4a5568"/>
          <w:sz w:val="18"/>
          <w:szCs w:val="18"/>
        </w:rPr>
        <w:t xml:space="preserve">rand IS TRUE</w:t>
      </w:r>
      <w:r>
        <w:rPr>
          <w:rFonts w:ascii="Microsoft YaHei" w:cs="Microsoft YaHei" w:eastAsia="Microsoft YaHei" w:hAnsi="Microsoft YaHei"/>
          <w:color w:val="2D3748"/>
          <w:sz w:val="20"/>
          <w:szCs w:val="20"/>
        </w:rPr>
        <w:t xml:space="preserve">），这些文章实际贡献了TPU指数</w:t>
      </w:r>
    </w:p>
    <w:p>
      <w:pPr>
        <w:spacing w:after="120" w:line="340"/>
        <w:jc w:val="both"/>
      </w:pPr>
      <w:r>
        <w:rPr>
          <w:rFonts w:ascii="Microsoft YaHei" w:cs="Microsoft YaHei" w:eastAsia="Microsoft YaHei" w:hAnsi="Microsoft YaHei"/>
          <w:color w:val="2D3748"/>
          <w:sz w:val="20"/>
          <w:szCs w:val="20"/>
        </w:rPr>
        <w:t xml:space="preserve">- 原始输出为俄语词形（变格形式），需后处理合并为词元</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后处理：词形合并（Lemma Merging）</w:t>
      </w:r>
      <w:r>
        <w:rPr>
          <w:rFonts w:ascii="Microsoft YaHei" w:cs="Microsoft YaHei" w:eastAsia="Microsoft YaHei" w:hAnsi="Microsoft YaHei"/>
          <w:color w:val="2D3748"/>
          <w:sz w:val="20"/>
          <w:szCs w:val="20"/>
        </w:rPr>
        <w:t xml:space="preserve"/>
      </w:r>
    </w:p>
    <w:p>
      <w:pPr>
        <w:spacing w:after="120" w:line="340"/>
        <w:jc w:val="both"/>
      </w:pPr>
      <w:r>
        <w:rPr>
          <w:rFonts w:ascii="Microsoft YaHei" w:cs="Microsoft YaHei" w:eastAsia="Microsoft YaHei" w:hAnsi="Microsoft YaHei"/>
          <w:color w:val="2D3748"/>
          <w:sz w:val="20"/>
          <w:szCs w:val="20"/>
        </w:rPr>
        <w:t xml:space="preserve">俄语是高度屈折语言，同一概念在新闻文本中以多种语法形式出现。为准确统计词频，在报告撰写时将词形合并为基础词元。例如：</w:t>
      </w:r>
    </w:p>
    <w:p>
      <w:pPr>
        <w:spacing w:before="8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8"/>
        <w:gridCol w:w="3008"/>
        <w:gridCol w:w="3010"/>
      </w:tblGrid>
      <w:tr>
        <w:tc>
          <w:tcPr>
            <w:tcW w:type="dxa" w:w="3008"/>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原始词形</w:t>
            </w:r>
          </w:p>
        </w:tc>
        <w:tc>
          <w:tcPr>
            <w:tcW w:type="dxa" w:w="3008"/>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合并词元</w:t>
            </w:r>
          </w:p>
        </w:tc>
        <w:tc>
          <w:tcPr>
            <w:tcW w:type="dxa" w:w="3010"/>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合并后频次</w:t>
            </w:r>
          </w:p>
        </w:tc>
      </w:tr>
      <w:tr>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торговли, торговле, торговлю, торговля, торговых, торговые, торгового, торговый, торговым, торговыми</w:t>
            </w:r>
          </w:p>
        </w:tc>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торговля/贸易</w:t>
            </w:r>
          </w:p>
        </w:tc>
        <w:tc>
          <w:tcPr>
            <w:tcW w:type="dxa" w:w="3010"/>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1,283</w:t>
            </w:r>
          </w:p>
        </w:tc>
      </w:tr>
      <w:tr>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риски, рисков, риск, риска</w:t>
            </w:r>
          </w:p>
        </w:tc>
        <w:tc>
          <w:tcPr>
            <w:tcW w:type="dxa" w:w="300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риск/风险</w:t>
            </w:r>
          </w:p>
        </w:tc>
        <w:tc>
          <w:tcPr>
            <w:tcW w:type="dxa" w:w="3010"/>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1,099</w:t>
            </w:r>
          </w:p>
        </w:tc>
      </w:tr>
      <w:tr>
        <w:tc>
          <w:tcPr>
            <w:tcW w:type="dxa" w:w="3008"/>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законом, закон, закона, законы, законе, закону, законодательство</w:t>
            </w:r>
          </w:p>
        </w:tc>
        <w:tc>
          <w:tcPr>
            <w:tcW w:type="dxa" w:w="3008"/>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закон/法律</w:t>
            </w:r>
          </w:p>
        </w:tc>
        <w:tc>
          <w:tcPr>
            <w:tcW w:type="dxa" w:w="3010"/>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1,028</w:t>
            </w:r>
          </w:p>
        </w:tc>
      </w:tr>
    </w:tbl>
    <w:p>
      <w:pPr>
        <w:spacing w:after="80"/>
      </w:pPr>
    </w:p>
    <w:p>
      <w:pPr>
        <w:spacing w:after="120" w:line="340"/>
        <w:jc w:val="both"/>
      </w:pPr>
      <w:r>
        <w:rPr>
          <w:rFonts w:ascii="Microsoft YaHei" w:cs="Microsoft YaHei" w:eastAsia="Microsoft YaHei" w:hAnsi="Microsoft YaHei"/>
          <w:color w:val="2D3748"/>
          <w:sz w:val="20"/>
          <w:szCs w:val="20"/>
        </w:rPr>
        <w:t xml:space="preserve">词形合并使用预定义映射表，程序化执行，一致性地应用于查询5、6、7的所有关键词分析。</w:t>
      </w:r>
    </w:p>
    <w:p>
      <w:pPr>
        <w:spacing w:after="100" w:before="100"/>
      </w:pPr>
    </w:p>
    <w:p>
      <w:pPr>
        <w:spacing w:after="100" w:before="240"/>
      </w:pPr>
      <w:r>
        <w:rPr>
          <w:rFonts w:ascii="Microsoft YaHei" w:cs="Microsoft YaHei" w:eastAsia="Microsoft YaHei" w:hAnsi="Microsoft YaHei"/>
          <w:b/>
          <w:bCs/>
          <w:color w:val="2C5282"/>
          <w:sz w:val="22"/>
          <w:szCs w:val="22"/>
        </w:rPr>
        <w:t xml:space="preserve">2.6 查询6：各国高频关键词TOP10</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：按国家分别统计高频关键词，识别四国在TPU叙事上的差异。</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Q6-top-keywords-by-country.csv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country, kw_type, kw_value, freq
FROM (
    SELECT country, kw_type, kw_value, COUNT(*) AS freq,
        ROW_NUMBER() OVER (
            PARTITION BY country, kw_type ORDER BY COUNT(*) DESC
        ) AS rn
    FROM (
        SELECT country, 'T' AS kw_type, 
            jsonb_array_elements_text(t::jsonb) AS kw_value
        FROM [news_table]
        WHERE ymd BETWEEN '20260101' AND '20260331'
          AND rand IS TRUE AND country IN ('kz','uz','kg','tj')
          AND t IS NOT NULL AND t != '' AND t != 'NaN'
        UNION ALL
        SELECT country, 'P', jsonb_array_elements_text(p::jsonb)
        FROM [news_table]
        WHERE ymd BETWEEN '20260101' AND '20260331'
          AND rand IS TRUE AND country IN ('kz','uz','kg','tj')
          AND p IS NOT NULL AND p != '' AND p != 'NaN'
        UNION ALL
        SELECT country, 'U', jsonb_array_elements_text(u::jsonb)
        FROM [news_table]
        WHERE ymd BETWEEN '20260101' AND '20260331'
          AND rand IS TRUE AND country IN ('kz','uz','kg','tj')
          AND u IS NOT NULL AND u != '' AND u != 'NaN'
    ) sub
    GROUP BY 1, 2, 3
) ranked
WHERE rn &lt;= 10
ORDER BY country, kw_type, freq DESC;</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与查询5相同的关键词提取逻辑，增加按国家分区</w:t>
      </w:r>
    </w:p>
    <w:p>
      <w:pPr>
        <w:spacing w:after="120" w:line="340"/>
        <w:jc w:val="both"/>
      </w:pPr>
      <w:r>
        <w:rPr>
          <w:rFonts w:ascii="Microsoft YaHei" w:cs="Microsoft YaHei" w:eastAsia="Microsoft YaHei" w:hAnsi="Microsoft YaHei"/>
          <w:color w:val="2D3748"/>
          <w:sz w:val="20"/>
          <w:szCs w:val="20"/>
        </w:rPr>
        <w:t xml:space="preserve">- 使用</w:t>
      </w:r>
      <w:r>
        <w:rPr>
          <w:rFonts w:ascii="Courier New" w:cs="Courier New" w:eastAsia="Courier New" w:hAnsi="Courier New"/>
          <w:color w:val="4a5568"/>
          <w:sz w:val="18"/>
          <w:szCs w:val="18"/>
        </w:rPr>
        <w:t xml:space="preserve">ROW_NUMBER()</w:t>
      </w:r>
      <w:r>
        <w:rPr>
          <w:rFonts w:ascii="Microsoft YaHei" w:cs="Microsoft YaHei" w:eastAsia="Microsoft YaHei" w:hAnsi="Microsoft YaHei"/>
          <w:color w:val="2D3748"/>
          <w:sz w:val="20"/>
          <w:szCs w:val="20"/>
        </w:rPr>
        <w:t xml:space="preserve">窗口函数筛选每个国家×类别的前10名</w:t>
      </w:r>
    </w:p>
    <w:p>
      <w:pPr>
        <w:spacing w:after="120" w:line="340"/>
        <w:jc w:val="both"/>
      </w:pPr>
      <w:r>
        <w:rPr>
          <w:rFonts w:ascii="Microsoft YaHei" w:cs="Microsoft YaHei" w:eastAsia="Microsoft YaHei" w:hAnsi="Microsoft YaHei"/>
          <w:color w:val="2D3748"/>
          <w:sz w:val="20"/>
          <w:szCs w:val="20"/>
        </w:rPr>
        <w:t xml:space="preserve">- 同样应用词形合并后处理</w:t>
      </w:r>
    </w:p>
    <w:p>
      <w:pPr>
        <w:spacing w:after="120" w:line="340"/>
        <w:jc w:val="both"/>
      </w:pPr>
      <w:r>
        <w:rPr>
          <w:rFonts w:ascii="Microsoft YaHei" w:cs="Microsoft YaHei" w:eastAsia="Microsoft YaHei" w:hAnsi="Microsoft YaHei"/>
          <w:color w:val="2D3748"/>
          <w:sz w:val="20"/>
          <w:szCs w:val="20"/>
        </w:rPr>
        <w:t xml:space="preserve">- 关键发现：KZ以"法律"（закон，544次）主导，UZ以"协定"（соглашение，434次）主导，KG"制裁"（санкции，68次）占比最高，TJ"不稳定"（нестабильность，41次）突出</w:t>
      </w:r>
    </w:p>
    <w:p>
      <w:pPr>
        <w:spacing w:after="100" w:before="100"/>
      </w:pPr>
    </w:p>
    <w:p>
      <w:pPr>
        <w:spacing w:after="100" w:before="240"/>
      </w:pPr>
      <w:r>
        <w:rPr>
          <w:rFonts w:ascii="Microsoft YaHei" w:cs="Microsoft YaHei" w:eastAsia="Microsoft YaHei" w:hAnsi="Microsoft YaHei"/>
          <w:b/>
          <w:bCs/>
          <w:color w:val="2C5282"/>
          <w:sz w:val="22"/>
          <w:szCs w:val="22"/>
        </w:rPr>
        <w:t xml:space="preserve">2.7 查询7：同比关键词变化</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：对比Q1 2026和Q1 2025的关键词频次，识别新兴或快速增长的话题，揭示不确定性格局的结构性变化。</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Q7-keyword-yoy-change.csv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WITH kw_2026 AS (
    SELECT kw_type, kw_value, COUNT(*) AS freq_2026
    FROM (
        SELECT 'T' AS kw_type, jsonb_array_elements_text(t::jsonb) AS kw_value
        FROM [news_table]
        WHERE ymd BETWEEN '20260101' AND '20260331'
          AND rand IS TRUE AND country IN ('kz','uz','kg','tj')
          AND t IS NOT NULL AND t != '' AND t != 'NaN'
        UNION ALL
        SELECT 'P', jsonb_array_elements_text(p::jsonb)
        FROM [news_table]
        WHERE ymd BETWEEN '20260101' AND '20260331'
          AND rand IS TRUE AND country IN ('kz','uz','kg','tj')
          AND p IS NOT NULL AND p != '' AND p != 'NaN'
        UNION ALL
        SELECT 'U', jsonb_array_elements_text(u::jsonb)
        FROM [news_table]
        WHERE ymd BETWEEN '20260101' AND '20260331'
          AND rand IS TRUE AND country IN ('kz','uz','kg','tj')
          AND u IS NOT NULL AND u != '' AND u != 'NaN'
    ) sub GROUP BY 1, 2
),
kw_2025 AS (
    SELECT kw_type, kw_value, COUNT(*) AS freq_2025
    FROM (
        SELECT 'T' AS kw_type, jsonb_array_elements_text(t::jsonb) AS kw_value
        FROM [news_table]
        WHERE ymd BETWEEN '20250101' AND '20250331'
          AND rand IS TRUE AND country IN ('kz','uz','kg','tj')
          AND t IS NOT NULL AND t != '' AND t != 'NaN'
        UNION ALL
        SELECT 'P', jsonb_array_elements_text(p::jsonb)
        FROM [news_table]
        WHERE ymd BETWEEN '20250101' AND '20250331'
          AND rand IS TRUE AND country IN ('kz','uz','kg','tj')
          AND p IS NOT NULL AND p != '' AND p != 'NaN'
        UNION ALL
        SELECT 'U', jsonb_array_elements_text(u::jsonb)
        FROM [news_table]
        WHERE ymd BETWEEN '20250101' AND '20250331'
          AND rand IS TRUE AND country IN ('kz','uz','kg','tj')
          AND u IS NOT NULL AND u != '' AND u != 'NaN'
    ) sub GROUP BY 1, 2
)
SELECT COALESCE(a.kw_type, b.kw_type) AS kw_type,
    COALESCE(a.kw_value, b.kw_value) AS kw_value,
    COALESCE(a.freq_2026, 0) AS freq_2026,
    COALESCE(b.freq_2025, 0) AS freq_2025,
    COALESCE(a.freq_2026, 0) - COALESCE(b.freq_2025, 0) AS change
FROM kw_2026 a
FULL OUTER JOIN kw_2025 b 
    ON a.kw_type = b.kw_type AND a.kw_value = b.kw_value
ORDER BY change DESC
LIMIT 30;</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使用CTE分别对两个时期执行相同的关键词提取</w:t>
      </w:r>
    </w:p>
    <w:p>
      <w:pPr>
        <w:spacing w:after="120" w:line="340"/>
        <w:jc w:val="both"/>
      </w:pPr>
      <w:r>
        <w:rPr>
          <w:rFonts w:ascii="Microsoft YaHei" w:cs="Microsoft YaHei" w:eastAsia="Microsoft YaHei" w:hAnsi="Microsoft YaHei"/>
          <w:color w:val="2D3748"/>
          <w:sz w:val="20"/>
          <w:szCs w:val="20"/>
        </w:rPr>
        <w:t xml:space="preserve">- FULL OUTER JOIN确保捕获仅出现在某一时期的关键词</w:t>
      </w:r>
    </w:p>
    <w:p>
      <w:pPr>
        <w:spacing w:after="120" w:line="340"/>
        <w:jc w:val="both"/>
      </w:pPr>
      <w:r>
        <w:rPr>
          <w:rFonts w:ascii="Microsoft YaHei" w:cs="Microsoft YaHei" w:eastAsia="Microsoft YaHei" w:hAnsi="Microsoft YaHei"/>
          <w:color w:val="2D3748"/>
          <w:sz w:val="20"/>
          <w:szCs w:val="20"/>
        </w:rPr>
        <w:t xml:space="preserve">- 按绝对变化量（非百分比）排序，突出影响最大的变化</w:t>
      </w:r>
    </w:p>
    <w:p>
      <w:pPr>
        <w:spacing w:after="120" w:line="340"/>
        <w:jc w:val="both"/>
      </w:pPr>
      <w:r>
        <w:rPr>
          <w:rFonts w:ascii="Microsoft YaHei" w:cs="Microsoft YaHei" w:eastAsia="Microsoft YaHei" w:hAnsi="Microsoft YaHei"/>
          <w:color w:val="2D3748"/>
          <w:sz w:val="20"/>
          <w:szCs w:val="20"/>
        </w:rPr>
        <w:t xml:space="preserve">- 同样应用词形合并后处理</w:t>
      </w:r>
    </w:p>
    <w:p>
      <w:pPr>
        <w:spacing w:after="120" w:line="340"/>
        <w:jc w:val="both"/>
      </w:pPr>
      <w:r>
        <w:rPr>
          <w:rFonts w:ascii="Microsoft YaHei" w:cs="Microsoft YaHei" w:eastAsia="Microsoft YaHei" w:hAnsi="Microsoft YaHei"/>
          <w:color w:val="2D3748"/>
          <w:sz w:val="20"/>
          <w:szCs w:val="20"/>
        </w:rPr>
        <w:t xml:space="preserve">- 关键发现：P类关键词增速最快（"法律"+491%、"部委"+389%），表明政策应对本身已成为不确定性的核心来源</w:t>
      </w:r>
    </w:p>
    <w:p>
      <w:pPr>
        <w:spacing w:after="100" w:before="100"/>
      </w:pPr>
    </w:p>
    <w:p>
      <w:pPr>
        <w:spacing w:after="100" w:before="240"/>
      </w:pPr>
      <w:r>
        <w:rPr>
          <w:rFonts w:ascii="Microsoft YaHei" w:cs="Microsoft YaHei" w:eastAsia="Microsoft YaHei" w:hAnsi="Microsoft YaHei"/>
          <w:b/>
          <w:bCs/>
          <w:color w:val="2C5282"/>
          <w:sz w:val="22"/>
          <w:szCs w:val="22"/>
        </w:rPr>
        <w:t xml:space="preserve">2.8 查询8：近8个季度f_ratio趋势（2年纵深）</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用途</w:t>
      </w:r>
      <w:r>
        <w:rPr>
          <w:rFonts w:ascii="Microsoft YaHei" w:cs="Microsoft YaHei" w:eastAsia="Microsoft YaHei" w:hAnsi="Microsoft YaHei"/>
          <w:color w:val="2D3748"/>
          <w:sz w:val="20"/>
          <w:szCs w:val="20"/>
        </w:rPr>
        <w:t xml:space="preserve">：将Q1 2026置于8个季度（2年）的时间线中，识别各国TPU强度的长期结构性趋势。</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输出文件</w:t>
      </w:r>
      <w:r>
        <w:rPr>
          <w:rFonts w:ascii="Microsoft YaHei" w:cs="Microsoft YaHei" w:eastAsia="Microsoft YaHei" w:hAnsi="Microsoft YaHei"/>
          <w:color w:val="2D3748"/>
          <w:sz w:val="20"/>
          <w:szCs w:val="20"/>
        </w:rPr>
        <w:t xml:space="preserve">：</w:t>
      </w:r>
      <w:r>
        <w:rPr>
          <w:rFonts w:ascii="Courier New" w:cs="Courier New" w:eastAsia="Courier New" w:hAnsi="Courier New"/>
          <w:color w:val="4a5568"/>
          <w:sz w:val="18"/>
          <w:szCs w:val="18"/>
        </w:rPr>
        <w:t xml:space="preserve">Q8-8quarter-fratio-trend.csv</w:t>
      </w:r>
      <w:r>
        <w:rPr>
          <w:rFonts w:ascii="Microsoft YaHei" w:cs="Microsoft YaHei" w:eastAsia="Microsoft YaHei" w:hAnsi="Microsoft YaHei"/>
          <w:color w:val="2D3748"/>
          <w:sz w:val="20"/>
          <w:szCs w:val="20"/>
        </w:rPr>
        <w:t xml:space="preserve"/>
      </w:r>
    </w:p>
    <w:p>
      <w:pPr>
        <w:shd w:fill="f8f8f8" w:val="clear"/>
        <w:spacing w:after="80" w:before="80"/>
      </w:pPr>
      <w:r>
        <w:rPr>
          <w:rFonts w:ascii="Courier New" w:cs="Courier New" w:eastAsia="Courier New" w:hAnsi="Courier New"/>
          <w:color w:val="4a5568"/>
          <w:sz w:val="15"/>
          <w:szCs w:val="15"/>
        </w:rPr>
        <w:t xml:space="preserve">SELECT 
    EXTRACT(YEAR FROM to_date(ymd, 'YYYYMMDD'))::int AS yr,
    EXTRACT(QUARTER FROM to_date(ymd, 'YYYYMMDD'))::int AS qtr,
    country,
    COUNT(*) AS total,
    SUM(CASE WHEN ror THEN 1 ELSE 0 END) AS or_count,
    SUM(CASE WHEN rand THEN 1 ELSE 0 END) AS and_count,
    ROUND(SUM(CASE WHEN rand THEN 1 ELSE 0 END)::numeric / 
          NULLIF(SUM(CASE WHEN ror THEN 1 ELSE 0 END), 0), 4) AS f_ratio
FROM [news_table]
WHERE ymd &gt;= '20240101' AND ymd &lt;= '20260331'
  AND country IN ('kz','uz','kg','tj')
GROUP BY 1, 2, 3
ORDER BY 1, 2, 3;</w:t>
      </w:r>
    </w:p>
    <w:p>
      <w:pPr>
        <w:spacing w:after="60" w:line="320"/>
      </w:pPr>
      <w:r>
        <w:rPr>
          <w:rFonts w:ascii="Microsoft YaHei" w:cs="Microsoft YaHei" w:eastAsia="Microsoft YaHei" w:hAnsi="Microsoft YaHei"/>
          <w:color w:val="2D3748"/>
          <w:sz w:val="20"/>
          <w:szCs w:val="20"/>
        </w:rPr>
        <w:t xml:space="preserve"/>
      </w:r>
      <w:r>
        <w:rPr>
          <w:rFonts w:ascii="Microsoft YaHei" w:cs="Microsoft YaHei" w:eastAsia="Microsoft YaHei" w:hAnsi="Microsoft YaHei"/>
          <w:b/>
          <w:bCs/>
          <w:color w:val="2D3748"/>
          <w:sz w:val="20"/>
          <w:szCs w:val="20"/>
        </w:rPr>
        <w:t xml:space="preserve">逻辑说明</w:t>
      </w:r>
      <w:r>
        <w:rPr>
          <w:rFonts w:ascii="Microsoft YaHei" w:cs="Microsoft YaHei" w:eastAsia="Microsoft YaHei" w:hAnsi="Microsoft YaHei"/>
          <w:color w:val="2D3748"/>
          <w:sz w:val="20"/>
          <w:szCs w:val="20"/>
        </w:rPr>
        <w:t xml:space="preserve">：</w:t>
      </w:r>
    </w:p>
    <w:p>
      <w:pPr>
        <w:spacing w:after="120" w:line="340"/>
        <w:jc w:val="both"/>
      </w:pPr>
      <w:r>
        <w:rPr>
          <w:rFonts w:ascii="Microsoft YaHei" w:cs="Microsoft YaHei" w:eastAsia="Microsoft YaHei" w:hAnsi="Microsoft YaHei"/>
          <w:color w:val="2D3748"/>
          <w:sz w:val="20"/>
          <w:szCs w:val="20"/>
        </w:rPr>
        <w:t xml:space="preserve">- 从日期中提取年份和季度，创建跨2年以上的季度分组</w:t>
      </w:r>
    </w:p>
    <w:p>
      <w:pPr>
        <w:spacing w:after="120" w:line="340"/>
        <w:jc w:val="both"/>
      </w:pPr>
      <w:r>
        <w:rPr>
          <w:rFonts w:ascii="Microsoft YaHei" w:cs="Microsoft YaHei" w:eastAsia="Microsoft YaHei" w:hAnsi="Microsoft YaHei"/>
          <w:color w:val="2D3748"/>
          <w:sz w:val="20"/>
          <w:szCs w:val="20"/>
        </w:rPr>
        <w:t xml:space="preserve">- 提供各国f_ratio的长周期轨迹</w:t>
      </w:r>
    </w:p>
    <w:p>
      <w:pPr>
        <w:spacing w:after="120" w:line="340"/>
        <w:jc w:val="both"/>
      </w:pPr>
      <w:r>
        <w:rPr>
          <w:rFonts w:ascii="Microsoft YaHei" w:cs="Microsoft YaHei" w:eastAsia="Microsoft YaHei" w:hAnsi="Microsoft YaHei"/>
          <w:color w:val="2D3748"/>
          <w:sz w:val="20"/>
          <w:szCs w:val="20"/>
        </w:rPr>
        <w:t xml:space="preserve">- 关键发现：UZ的f_ratio从0.02（2024年）升至0.09（2026-Q1），增长近5倍；KZ的f_ratio反降（0.12→0.06），因新闻总量暴增稀释了比率；四国f_ratio离散度从4.9倍收敛至1.9倍，不确定性从"主要影响KZ"演变为"区域性蔓延"</w:t>
      </w:r>
    </w:p>
    <w:p>
      <w:pPr>
        <w:spacing w:after="100" w:before="100"/>
      </w:pPr>
    </w:p>
    <w:p>
      <w:pPr>
        <w:pBdr>
          <w:bottom w:val="single" w:color="2C5282" w:sz="6" w:space="4"/>
        </w:pBdr>
        <w:spacing w:after="120" w:before="300"/>
      </w:pPr>
      <w:r>
        <w:rPr>
          <w:rFonts w:ascii="Microsoft YaHei" w:cs="Microsoft YaHei" w:eastAsia="Microsoft YaHei" w:hAnsi="Microsoft YaHei"/>
          <w:b/>
          <w:bCs/>
          <w:color w:val="1A365D"/>
          <w:sz w:val="26"/>
          <w:szCs w:val="26"/>
        </w:rPr>
        <w:t xml:space="preserve">3. 数据完整性说明</w:t>
      </w:r>
    </w:p>
    <w:p>
      <w:pPr>
        <w:spacing w:after="100" w:before="240"/>
      </w:pPr>
      <w:r>
        <w:rPr>
          <w:rFonts w:ascii="Microsoft YaHei" w:cs="Microsoft YaHei" w:eastAsia="Microsoft YaHei" w:hAnsi="Microsoft YaHei"/>
          <w:b/>
          <w:bCs/>
          <w:color w:val="2C5282"/>
          <w:sz w:val="22"/>
          <w:szCs w:val="22"/>
        </w:rPr>
        <w:t xml:space="preserve">3.1 OR/AND标记定义</w:t>
      </w:r>
    </w:p>
    <w:p>
      <w:pPr>
        <w:spacing w:after="120" w:line="340"/>
        <w:jc w:val="both"/>
      </w:pPr>
      <w:r>
        <w:rPr>
          <w:rFonts w:ascii="Microsoft YaHei" w:cs="Microsoft YaHei" w:eastAsia="Microsoft YaHei" w:hAnsi="Microsoft YaHei"/>
          <w:color w:val="2D3748"/>
          <w:sz w:val="20"/>
          <w:szCs w:val="20"/>
        </w:rPr>
        <w:t xml:space="preserve"/>
      </w:r>
      <w:r>
        <w:rPr>
          <w:rFonts w:ascii="Courier New" w:cs="Courier New" w:eastAsia="Courier New" w:hAnsi="Courier New"/>
          <w:color w:val="4a5568"/>
          <w:sz w:val="18"/>
          <w:szCs w:val="18"/>
        </w:rPr>
        <w:t xml:space="preserve">ror</w:t>
      </w:r>
      <w:r>
        <w:rPr>
          <w:rFonts w:ascii="Microsoft YaHei" w:cs="Microsoft YaHei" w:eastAsia="Microsoft YaHei" w:hAnsi="Microsoft YaHei"/>
          <w:color w:val="2D3748"/>
          <w:sz w:val="20"/>
          <w:szCs w:val="20"/>
        </w:rPr>
        <w:t xml:space="preserve">和</w:t>
      </w:r>
      <w:r>
        <w:rPr>
          <w:rFonts w:ascii="Courier New" w:cs="Courier New" w:eastAsia="Courier New" w:hAnsi="Courier New"/>
          <w:color w:val="4a5568"/>
          <w:sz w:val="18"/>
          <w:szCs w:val="18"/>
        </w:rPr>
        <w:t xml:space="preserve">rand</w:t>
      </w:r>
      <w:r>
        <w:rPr>
          <w:rFonts w:ascii="Microsoft YaHei" w:cs="Microsoft YaHei" w:eastAsia="Microsoft YaHei" w:hAnsi="Microsoft YaHei"/>
          <w:color w:val="2D3748"/>
          <w:sz w:val="20"/>
          <w:szCs w:val="20"/>
        </w:rPr>
        <w:t xml:space="preserve">布尔字段在数据入库时基于预定义的俄语关键词词典进行匹配计算：</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T类（贸易）</w:t>
      </w:r>
      <w:r>
        <w:rPr>
          <w:rFonts w:ascii="Microsoft YaHei" w:cs="Microsoft YaHei" w:eastAsia="Microsoft YaHei" w:hAnsi="Microsoft YaHei"/>
          <w:color w:val="2D3748"/>
          <w:sz w:val="20"/>
          <w:szCs w:val="20"/>
        </w:rPr>
        <w:t xml:space="preserve">：торговля、экспорт、импорт、тариф、пошлина、санкции、соглашение、договор、ВТО、таможня及其语法变体</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P类（政策）</w:t>
      </w:r>
      <w:r>
        <w:rPr>
          <w:rFonts w:ascii="Microsoft YaHei" w:cs="Microsoft YaHei" w:eastAsia="Microsoft YaHei" w:hAnsi="Microsoft YaHei"/>
          <w:color w:val="2D3748"/>
          <w:sz w:val="20"/>
          <w:szCs w:val="20"/>
        </w:rPr>
        <w:t xml:space="preserve">：политика、правительство、министерство、закон、реформа、решение、меры、стратегия、налог及其语法变体</w:t>
      </w:r>
    </w:p>
    <w:p>
      <w:pPr>
        <w:spacing w:after="120" w:line="340"/>
        <w:jc w:val="both"/>
      </w:pPr>
      <w:r>
        <w:rPr>
          <w:rFonts w:ascii="Microsoft YaHei" w:cs="Microsoft YaHei" w:eastAsia="Microsoft YaHei" w:hAnsi="Microsoft YaHei"/>
          <w:color w:val="2D3748"/>
          <w:sz w:val="20"/>
          <w:szCs w:val="20"/>
        </w:rPr>
        <w:t xml:space="preserve">- </w:t>
      </w:r>
      <w:r>
        <w:rPr>
          <w:rFonts w:ascii="Microsoft YaHei" w:cs="Microsoft YaHei" w:eastAsia="Microsoft YaHei" w:hAnsi="Microsoft YaHei"/>
          <w:b/>
          <w:bCs/>
          <w:color w:val="2D3748"/>
          <w:sz w:val="20"/>
          <w:szCs w:val="20"/>
        </w:rPr>
        <w:t xml:space="preserve">U类（不确定性）</w:t>
      </w:r>
      <w:r>
        <w:rPr>
          <w:rFonts w:ascii="Microsoft YaHei" w:cs="Microsoft YaHei" w:eastAsia="Microsoft YaHei" w:hAnsi="Microsoft YaHei"/>
          <w:color w:val="2D3748"/>
          <w:sz w:val="20"/>
          <w:szCs w:val="20"/>
        </w:rPr>
        <w:t xml:space="preserve">：риск、неопределённость、нестабильность、кризис、напряжённость及其语法变体</w:t>
      </w:r>
    </w:p>
    <w:p>
      <w:pPr>
        <w:spacing w:after="120" w:line="340"/>
        <w:jc w:val="both"/>
      </w:pPr>
      <w:r>
        <w:rPr>
          <w:rFonts w:ascii="Microsoft YaHei" w:cs="Microsoft YaHei" w:eastAsia="Microsoft YaHei" w:hAnsi="Microsoft YaHei"/>
          <w:color w:val="2D3748"/>
          <w:sz w:val="20"/>
          <w:szCs w:val="20"/>
        </w:rPr>
        <w:t xml:space="preserve"/>
      </w:r>
      <w:r>
        <w:rPr>
          <w:rFonts w:ascii="Courier New" w:cs="Courier New" w:eastAsia="Courier New" w:hAnsi="Courier New"/>
          <w:color w:val="4a5568"/>
          <w:sz w:val="18"/>
          <w:szCs w:val="18"/>
        </w:rPr>
        <w:t xml:space="preserve">ror = TRUE</w:t>
      </w:r>
      <w:r>
        <w:rPr>
          <w:rFonts w:ascii="Microsoft YaHei" w:cs="Microsoft YaHei" w:eastAsia="Microsoft YaHei" w:hAnsi="Microsoft YaHei"/>
          <w:color w:val="2D3748"/>
          <w:sz w:val="20"/>
          <w:szCs w:val="20"/>
        </w:rPr>
        <w:t xml:space="preserve">：T、P、U任一关键词列表非空时为真  </w:t>
      </w:r>
    </w:p>
    <w:p>
      <w:pPr>
        <w:spacing w:after="120" w:line="340"/>
        <w:jc w:val="both"/>
      </w:pPr>
      <w:r>
        <w:rPr>
          <w:rFonts w:ascii="Microsoft YaHei" w:cs="Microsoft YaHei" w:eastAsia="Microsoft YaHei" w:hAnsi="Microsoft YaHei"/>
          <w:color w:val="2D3748"/>
          <w:sz w:val="20"/>
          <w:szCs w:val="20"/>
        </w:rPr>
        <w:t xml:space="preserve"/>
      </w:r>
      <w:r>
        <w:rPr>
          <w:rFonts w:ascii="Courier New" w:cs="Courier New" w:eastAsia="Courier New" w:hAnsi="Courier New"/>
          <w:color w:val="4a5568"/>
          <w:sz w:val="18"/>
          <w:szCs w:val="18"/>
        </w:rPr>
        <w:t xml:space="preserve">rand = TRUE</w:t>
      </w:r>
      <w:r>
        <w:rPr>
          <w:rFonts w:ascii="Microsoft YaHei" w:cs="Microsoft YaHei" w:eastAsia="Microsoft YaHei" w:hAnsi="Microsoft YaHei"/>
          <w:color w:val="2D3748"/>
          <w:sz w:val="20"/>
          <w:szCs w:val="20"/>
        </w:rPr>
        <w:t xml:space="preserve">：T、P、U三个关键词列表均非空时为真</w:t>
      </w:r>
    </w:p>
    <w:p>
      <w:pPr>
        <w:spacing w:after="100" w:before="240"/>
      </w:pPr>
      <w:r>
        <w:rPr>
          <w:rFonts w:ascii="Microsoft YaHei" w:cs="Microsoft YaHei" w:eastAsia="Microsoft YaHei" w:hAnsi="Microsoft YaHei"/>
          <w:b/>
          <w:bCs/>
          <w:color w:val="2C5282"/>
          <w:sz w:val="22"/>
          <w:szCs w:val="22"/>
        </w:rPr>
        <w:t xml:space="preserve">3.2 数据量变化说明</w:t>
      </w:r>
    </w:p>
    <w:p>
      <w:pPr>
        <w:spacing w:after="120" w:line="340"/>
        <w:jc w:val="both"/>
      </w:pPr>
      <w:r>
        <w:rPr>
          <w:rFonts w:ascii="Microsoft YaHei" w:cs="Microsoft YaHei" w:eastAsia="Microsoft YaHei" w:hAnsi="Microsoft YaHei"/>
          <w:color w:val="2D3748"/>
          <w:sz w:val="20"/>
          <w:szCs w:val="20"/>
        </w:rPr>
        <w:t xml:space="preserve">自2025年Q4起，新闻总量出现显著增长，尤其是哈萨克斯坦（从2024-2025年的每季约1,300篇增至Q1 2026的约11,000篇）。这反映的是数据采集覆盖范围的扩大，而非方法论变更。f_ratio指标（AND/OR）对采集规模变化具有内在归一化能力，具备跨期可比性。报告在讨论哈萨克斯坦f_ratio下降而AND绝对数上升的现象时，已明确说明了这一数据量效应。</w:t>
      </w:r>
    </w:p>
    <w:p>
      <w:pPr>
        <w:spacing w:after="100" w:before="240"/>
      </w:pPr>
      <w:r>
        <w:rPr>
          <w:rFonts w:ascii="Microsoft YaHei" w:cs="Microsoft YaHei" w:eastAsia="Microsoft YaHei" w:hAnsi="Microsoft YaHei"/>
          <w:b/>
          <w:bCs/>
          <w:color w:val="2C5282"/>
          <w:sz w:val="22"/>
          <w:szCs w:val="22"/>
        </w:rPr>
        <w:t xml:space="preserve">3.3 关键词分析的局限性</w:t>
      </w:r>
    </w:p>
    <w:p>
      <w:pPr>
        <w:spacing w:after="120" w:line="340"/>
        <w:jc w:val="both"/>
      </w:pPr>
      <w:r>
        <w:rPr>
          <w:rFonts w:ascii="Microsoft YaHei" w:cs="Microsoft YaHei" w:eastAsia="Microsoft YaHei" w:hAnsi="Microsoft YaHei"/>
          <w:color w:val="2D3748"/>
          <w:sz w:val="20"/>
          <w:szCs w:val="20"/>
        </w:rPr>
        <w:t xml:space="preserve">- 关键词匹配基于表面词形（精确字符串匹配预定义词典），而非NLP词形还原</w:t>
      </w:r>
    </w:p>
    <w:p>
      <w:pPr>
        <w:spacing w:after="120" w:line="340"/>
        <w:jc w:val="both"/>
      </w:pPr>
      <w:r>
        <w:rPr>
          <w:rFonts w:ascii="Microsoft YaHei" w:cs="Microsoft YaHei" w:eastAsia="Microsoft YaHei" w:hAnsi="Microsoft YaHei"/>
          <w:color w:val="2D3748"/>
          <w:sz w:val="20"/>
          <w:szCs w:val="20"/>
        </w:rPr>
        <w:t xml:space="preserve">- 第2.5节描述的词形合并仅在报告分析阶段执行，未在数据库层面修改</w:t>
      </w:r>
    </w:p>
    <w:p>
      <w:pPr>
        <w:spacing w:after="120" w:line="340"/>
        <w:jc w:val="both"/>
      </w:pPr>
      <w:r>
        <w:rPr>
          <w:rFonts w:ascii="Microsoft YaHei" w:cs="Microsoft YaHei" w:eastAsia="Microsoft YaHei" w:hAnsi="Microsoft YaHei"/>
          <w:color w:val="2D3748"/>
          <w:sz w:val="20"/>
          <w:szCs w:val="20"/>
        </w:rPr>
        <w:t xml:space="preserve">- 部分俄语词形可能未被词典捕获（如罕见变格或拼写错误）</w:t>
      </w:r>
    </w:p>
    <w:p>
      <w:pPr>
        <w:spacing w:after="120" w:line="340"/>
        <w:jc w:val="both"/>
      </w:pPr>
      <w:r>
        <w:rPr>
          <w:rFonts w:ascii="Microsoft YaHei" w:cs="Microsoft YaHei" w:eastAsia="Microsoft YaHei" w:hAnsi="Microsoft YaHei"/>
          <w:color w:val="2D3748"/>
          <w:sz w:val="20"/>
          <w:szCs w:val="20"/>
        </w:rPr>
        <w:t xml:space="preserve">- 关键词词典基于Baker, Bloom &amp; Davis (2016) EPU方法论的俄语适配版本</w:t>
      </w:r>
    </w:p>
    <w:p>
      <w:pPr>
        <w:spacing w:after="100" w:before="240"/>
      </w:pPr>
      <w:r>
        <w:rPr>
          <w:rFonts w:ascii="Microsoft YaHei" w:cs="Microsoft YaHei" w:eastAsia="Microsoft YaHei" w:hAnsi="Microsoft YaHei"/>
          <w:b/>
          <w:bCs/>
          <w:color w:val="2C5282"/>
          <w:sz w:val="22"/>
          <w:szCs w:val="22"/>
        </w:rPr>
        <w:t xml:space="preserve">3.4 可复现性</w:t>
      </w:r>
    </w:p>
    <w:p>
      <w:pPr>
        <w:spacing w:after="120" w:line="340"/>
        <w:jc w:val="both"/>
      </w:pPr>
      <w:r>
        <w:rPr>
          <w:rFonts w:ascii="Microsoft YaHei" w:cs="Microsoft YaHei" w:eastAsia="Microsoft YaHei" w:hAnsi="Microsoft YaHei"/>
          <w:color w:val="2D3748"/>
          <w:sz w:val="20"/>
          <w:szCs w:val="20"/>
        </w:rPr>
        <w:t xml:space="preserve">本文档中的所有查询均可在源数据库上重新执行以复现本审计包中的CSV输出。唯一未在SQL中体现的后处理步骤是俄语词形合并（第2.5节），该步骤使用确定性映射表，已完整记录。</w:t>
      </w:r>
    </w:p>
    <w:p>
      <w:pPr>
        <w:spacing w:after="100" w:before="100"/>
      </w:pPr>
    </w:p>
    <w:p>
      <w:pPr>
        <w:pBdr>
          <w:bottom w:val="single" w:color="2C5282" w:sz="6" w:space="4"/>
        </w:pBdr>
        <w:spacing w:after="120" w:before="300"/>
      </w:pPr>
      <w:r>
        <w:rPr>
          <w:rFonts w:ascii="Microsoft YaHei" w:cs="Microsoft YaHei" w:eastAsia="Microsoft YaHei" w:hAnsi="Microsoft YaHei"/>
          <w:b/>
          <w:bCs/>
          <w:color w:val="1A365D"/>
          <w:sz w:val="26"/>
          <w:szCs w:val="26"/>
        </w:rPr>
        <w:t xml:space="preserve">4. 文件清单</w:t>
      </w:r>
    </w:p>
    <w:p>
      <w:pPr>
        <w:spacing w:before="8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56"/>
        <w:gridCol w:w="2256"/>
        <w:gridCol w:w="2256"/>
        <w:gridCol w:w="2258"/>
      </w:tblGrid>
      <w:tr>
        <w:tc>
          <w:tcPr>
            <w:tcW w:type="dxa" w:w="2256"/>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文件</w:t>
            </w:r>
          </w:p>
        </w:tc>
        <w:tc>
          <w:tcPr>
            <w:tcW w:type="dxa" w:w="2256"/>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说明</w:t>
            </w:r>
          </w:p>
        </w:tc>
        <w:tc>
          <w:tcPr>
            <w:tcW w:type="dxa" w:w="2256"/>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行数</w:t>
            </w:r>
          </w:p>
        </w:tc>
        <w:tc>
          <w:tcPr>
            <w:tcW w:type="dxa" w:w="2258"/>
            <w:tcBorders>
              <w:top w:val="single" w:color="2D3748" w:sz="12"/>
              <w:left w:val="none" w:color="FFFFFF" w:sz="0"/>
              <w:bottom w:val="single" w:color="2D3748" w:sz="6"/>
              <w:right w:val="none" w:color="FFFFFF" w:sz="0"/>
            </w:tcBorders>
            <w:tcMar>
              <w:top w:type="dxa" w:w="50"/>
              <w:left w:type="dxa" w:w="80"/>
              <w:bottom w:type="dxa" w:w="50"/>
              <w:right w:type="dxa" w:w="80"/>
            </w:tcMar>
          </w:tcPr>
          <w:p>
            <w:pPr>
              <w:spacing w:line="240"/>
            </w:pPr>
            <w:r>
              <w:rPr>
                <w:rFonts w:ascii="Microsoft YaHei" w:cs="Microsoft YaHei" w:eastAsia="Microsoft YaHei" w:hAnsi="Microsoft YaHei"/>
                <w:b/>
                <w:bCs/>
                <w:color w:val="1A365D"/>
                <w:sz w:val="17"/>
                <w:szCs w:val="17"/>
              </w:rPr>
              <w:t xml:space="preserve">关键字段</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`Q1-quarterly-overview.csv`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季度总览（Q1 2026、Q4 2025、Q1 2025）</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12</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quarter, country, total, or_count, and_count, f_ratio</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`Q2-monthly-trend.csv`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Q1 2026季度内月度走势</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12</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month, country, total, or_count, and_count, f_ratio</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`Q3-weekly-trend.csv`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Q1 2026季度内周度趋势（全国汇总）</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14</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week_num, week_start, week_end, total, hit_or, hit_and, f_ratio</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`Q4-site-contribution.csv`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各站点贡献矩阵</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8</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country, site, total, or_count, and_count, f_ratio</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`Q5-top-keywords-global.csv`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高频关键词（原始词形）</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60</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kw_type, kw_value, freq</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`Q6-top-keywords-by-country.csv`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各国高频关键词TOP10（原始词形）</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120</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country, kw_type, kw_value, freq</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`Q7-keyword-yoy-change.csv`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同比关键词变化（Q1 2026 vs Q1 2025）</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30</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kw_type, kw_value, freq_2026, freq_2025, change</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`Q8-8quarter-fratio-trend.csv`</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近8个季度f_ratio趋势</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36</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yr, qtr, country, total, or_count, and_count, f_ratio</w:t>
            </w:r>
          </w:p>
        </w:tc>
      </w:tr>
      <w:tr>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`METHODOLOGY-CN.md`</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本文档（中文）</w:t>
            </w:r>
          </w:p>
        </w:tc>
        <w:tc>
          <w:tcPr>
            <w:tcW w:type="dxa" w:w="2256"/>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w:t>
            </w:r>
          </w:p>
        </w:tc>
        <w:tc>
          <w:tcPr>
            <w:tcW w:type="dxa" w:w="2258"/>
            <w:tcBorders>
              <w:top w:val="none" w:color="FFFFFF" w:sz="0"/>
              <w:left w:val="none" w:color="FFFFFF" w:sz="0"/>
              <w:bottom w:val="none" w:color="FFFFFF" w:sz="0"/>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w:t>
            </w:r>
          </w:p>
        </w:tc>
      </w:tr>
      <w:tr>
        <w:tc>
          <w:tcPr>
            <w:tcW w:type="dxa" w:w="2256"/>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Courier New" w:cs="Courier New" w:eastAsia="Courier New" w:hAnsi="Courier New"/>
                <w:color w:val="2D3748"/>
                <w:sz w:val="17"/>
                <w:szCs w:val="17"/>
              </w:rPr>
              <w:t xml:space="preserve">`METHODOLOGY-EN.md`</w:t>
            </w:r>
          </w:p>
        </w:tc>
        <w:tc>
          <w:tcPr>
            <w:tcW w:type="dxa" w:w="2256"/>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本文档（英文）</w:t>
            </w:r>
          </w:p>
        </w:tc>
        <w:tc>
          <w:tcPr>
            <w:tcW w:type="dxa" w:w="2256"/>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w:t>
            </w:r>
          </w:p>
        </w:tc>
        <w:tc>
          <w:tcPr>
            <w:tcW w:type="dxa" w:w="2258"/>
            <w:tcBorders>
              <w:top w:val="none" w:color="FFFFFF" w:sz="0"/>
              <w:left w:val="none" w:color="FFFFFF" w:sz="0"/>
              <w:bottom w:val="single" w:color="2D3748" w:sz="12"/>
              <w:right w:val="none" w:color="FFFFFF" w:sz="0"/>
            </w:tcBorders>
            <w:tcMar>
              <w:top w:type="dxa" w:w="40"/>
              <w:left w:type="dxa" w:w="80"/>
              <w:bottom w:type="dxa" w:w="40"/>
              <w:right w:type="dxa" w:w="80"/>
            </w:tcMar>
          </w:tcPr>
          <w:p>
            <w:pPr>
              <w:spacing w:line="240"/>
            </w:pPr>
            <w:r>
              <w:rPr>
                <w:rFonts w:ascii="Microsoft YaHei" w:cs="Microsoft YaHei" w:eastAsia="Microsoft YaHei" w:hAnsi="Microsoft YaHei"/>
                <w:color w:val="2D3748"/>
                <w:sz w:val="17"/>
                <w:szCs w:val="17"/>
              </w:rPr>
              <w:t xml:space="preserve">—</w:t>
            </w:r>
          </w:p>
        </w:tc>
      </w:tr>
    </w:tbl>
    <w:p>
      <w:pPr>
        <w:spacing w:after="80"/>
      </w:pPr>
    </w:p>
    <w:p>
      <w:pPr>
        <w:spacing w:after="100" w:before="100"/>
      </w:pPr>
    </w:p>
    <w:p>
      <w:pPr>
        <w:spacing w:after="120" w:line="340"/>
        <w:jc w:val="both"/>
      </w:pPr>
      <w:r>
        <w:rPr>
          <w:rFonts w:ascii="Microsoft YaHei" w:cs="Microsoft YaHei" w:eastAsia="Microsoft YaHei" w:hAnsi="Microsoft YaHei"/>
          <w:color w:val="2D3748"/>
          <w:sz w:val="20"/>
          <w:szCs w:val="20"/>
        </w:rPr>
        <w:t xml:space="preserve">*CA-TPU指数项目组 · 新疆大学经济与管理学院*  </w:t>
      </w:r>
    </w:p>
    <w:p>
      <w:pPr>
        <w:spacing w:after="120" w:line="340"/>
        <w:jc w:val="both"/>
      </w:pPr>
      <w:r>
        <w:rPr>
          <w:rFonts w:ascii="Microsoft YaHei" w:cs="Microsoft YaHei" w:eastAsia="Microsoft YaHei" w:hAnsi="Microsoft YaHei"/>
          <w:color w:val="2D3748"/>
          <w:sz w:val="20"/>
          <w:szCs w:val="20"/>
        </w:rPr>
        <w:t xml:space="preserve">*catpu.caiees.cn*</w:t>
      </w:r>
    </w:p>
    <w:sectPr>
      <w:headerReference w:type="default" r:id="rId7"/>
      <w:footerReference w:type="default" r:id="rId8"/>
      <w:pgSz w:w="11906" w:h="16838"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2E8F0" w:sz="3" w:space="4"/>
      </w:pBdr>
      <w:tabs>
        <w:tab w:val="center" w:pos="4500"/>
        <w:tab w:val="right" w:pos="9026"/>
      </w:tabs>
    </w:pPr>
    <w:r>
      <w:rPr>
        <w:rFonts w:ascii="Arial" w:cs="Arial" w:eastAsia="Arial" w:hAnsi="Arial"/>
        <w:color w:val="A0AEC0"/>
        <w:sz w:val="12"/>
        <w:szCs w:val="12"/>
      </w:rPr>
      <w:t xml:space="preserve">CA-TPU Index Project · Xinjiang University</w:t>
    </w:r>
    <w:r>
      <w:t xml:space="preserve">	</w:t>
    </w:r>
    <w:r>
      <w:rPr>
        <w:rFonts w:ascii="Arial" w:cs="Arial" w:eastAsia="Arial" w:hAnsi="Arial"/>
        <w:color w:val="A0AEC0"/>
        <w:sz w:val="12"/>
        <w:szCs w:val="12"/>
      </w:rPr>
      <w:t xml:space="preserve">catpu.caiees.cn</w:t>
    </w:r>
    <w:r>
      <w:t xml:space="preserve">	</w:t>
    </w:r>
    <w:r>
      <w:rPr>
        <w:rFonts w:ascii="Arial" w:cs="Arial" w:eastAsia="Arial" w:hAnsi="Arial"/>
        <w:color w:val="A0AEC0"/>
        <w:sz w:val="12"/>
        <w:szCs w:val="12"/>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C5282" w:sz="3" w:space="4"/>
      </w:pBdr>
      <w:tabs>
        <w:tab w:val="right" w:pos="9026"/>
      </w:tabs>
    </w:pPr>
    <w:r>
      <w:rPr>
        <w:rFonts w:ascii="Arial" w:cs="Arial" w:eastAsia="Arial" w:hAnsi="Arial"/>
        <w:color w:val="A0AEC0"/>
        <w:sz w:val="14"/>
        <w:szCs w:val="14"/>
      </w:rPr>
      <w:t xml:space="preserve">CA-TPU Q1 2026 Data Audit Package</w:t>
    </w:r>
    <w:r>
      <w:t xml:space="preserve">	</w:t>
    </w:r>
    <w:r>
      <w:rPr>
        <w:rFonts w:ascii="Arial" w:cs="Arial" w:eastAsia="Arial" w:hAnsi="Arial"/>
        <w:color w:val="A0AEC0"/>
        <w:sz w:val="14"/>
        <w:szCs w:val="14"/>
      </w:rPr>
      <w:t xml:space="preserve">方法论文档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YaHei" w:cs="Microsoft YaHei" w:eastAsia="Microsoft YaHei" w:hAnsi="Microsoft YaHe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2026-04-28T16:46:15.535Z</dcterms:created>
  <dcterms:modified xsi:type="dcterms:W3CDTF">2026-04-28T16:46:15.535Z</dcterms:modified>
</cp:coreProperties>
</file>

<file path=docProps/custom.xml><?xml version="1.0" encoding="utf-8"?>
<Properties xmlns="http://schemas.openxmlformats.org/officeDocument/2006/custom-properties" xmlns:vt="http://schemas.openxmlformats.org/officeDocument/2006/docPropsVTypes"/>
</file>