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200"/>
      </w:pPr>
      <w:r>
        <w:rPr>
          <w:rFonts w:ascii="Arial" w:cs="Arial" w:eastAsia="Arial" w:hAnsi="Arial"/>
          <w:b/>
          <w:bCs/>
          <w:color w:val="1A365D"/>
          <w:sz w:val="32"/>
          <w:szCs w:val="32"/>
        </w:rPr>
        <w:t xml:space="preserve">CA-TPU Q1 2026 Quarterly Report — Data Audit Package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Project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Central Asia Trade Policy Uncertainty Index (CA-TPU)  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Report Period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January – March 2026  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Prepared by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CA-TPU Index Project Team, School of Economics and Management, Xinjiang University  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Audit Package Version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1.0  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Date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April 2026</w:t>
      </w:r>
    </w:p>
    <w:p>
      <w:pPr>
        <w:spacing w:after="100" w:before="100"/>
      </w:pPr>
    </w:p>
    <w:p>
      <w:pPr>
        <w:pBdr>
          <w:bottom w:val="single" w:color="2C5282" w:sz="6" w:space="4"/>
        </w:pBdr>
        <w:spacing w:after="120" w:before="300"/>
      </w:pPr>
      <w:r>
        <w:rPr>
          <w:rFonts w:ascii="Arial" w:cs="Arial" w:eastAsia="Arial" w:hAnsi="Arial"/>
          <w:b/>
          <w:bCs/>
          <w:color w:val="1A365D"/>
          <w:sz w:val="26"/>
          <w:szCs w:val="26"/>
        </w:rPr>
        <w:t xml:space="preserve">1. Overview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This document describes the data sources, SQL queries, and analytical methods used to produce the CA-TPU Q1 2026 Quarterly Report. All queries were executed against a PostgreSQL database containing news articles collected from 8 Russian-language media outlets across 4 Central Asian countries.</w:t>
      </w:r>
    </w:p>
    <w:p>
      <w:pPr>
        <w:spacing w:after="100" w:before="240"/>
      </w:pPr>
      <w:r>
        <w:rPr>
          <w:rFonts w:ascii="Arial" w:cs="Arial" w:eastAsia="Arial" w:hAnsi="Arial"/>
          <w:b/>
          <w:bCs/>
          <w:color w:val="2C5282"/>
          <w:sz w:val="22"/>
          <w:szCs w:val="22"/>
        </w:rPr>
        <w:t xml:space="preserve">1.1 Data Source</w:t>
      </w:r>
    </w:p>
    <w:p>
      <w:pPr>
        <w:spacing w:before="8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single" w:color="2D3748" w:sz="12"/>
              <w:left w:val="none" w:color="FFFFFF" w:sz="0"/>
              <w:bottom w:val="single" w:color="2D3748" w:sz="6"/>
              <w:right w:val="none" w:color="FFFFFF" w:sz="0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b/>
                <w:bCs/>
                <w:color w:val="1A365D"/>
                <w:sz w:val="17"/>
                <w:szCs w:val="17"/>
              </w:rPr>
              <w:t xml:space="preserve">Item</w:t>
            </w:r>
          </w:p>
        </w:tc>
        <w:tc>
          <w:tcPr>
            <w:tcW w:type="dxa" w:w="4513"/>
            <w:tcBorders>
              <w:top w:val="single" w:color="2D3748" w:sz="12"/>
              <w:left w:val="none" w:color="FFFFFF" w:sz="0"/>
              <w:bottom w:val="single" w:color="2D3748" w:sz="6"/>
              <w:right w:val="none" w:color="FFFFFF" w:sz="0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b/>
                <w:bCs/>
                <w:color w:val="1A365D"/>
                <w:sz w:val="17"/>
                <w:szCs w:val="17"/>
              </w:rPr>
              <w:t xml:space="preserve">Description</w:t>
            </w:r>
          </w:p>
        </w:tc>
      </w:tr>
      <w:tr>
        <w:tc>
          <w:tcPr>
            <w:tcW w:type="dxa" w:w="451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Database</w:t>
            </w:r>
          </w:p>
        </w:tc>
        <w:tc>
          <w:tcPr>
            <w:tcW w:type="dxa" w:w="451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PostgreSQL</w:t>
            </w:r>
          </w:p>
        </w:tc>
      </w:tr>
      <w:tr>
        <w:tc>
          <w:tcPr>
            <w:tcW w:type="dxa" w:w="451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Primary Table</w:t>
            </w:r>
          </w:p>
        </w:tc>
        <w:tc>
          <w:tcPr>
            <w:tcW w:type="dxa" w:w="451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Courier New" w:cs="Courier New" w:eastAsia="Courier New" w:hAnsi="Courier New"/>
                <w:color w:val="2D3748"/>
                <w:sz w:val="17"/>
                <w:szCs w:val="17"/>
              </w:rPr>
              <w:t xml:space="preserve">`[news_table]`</w:t>
            </w:r>
          </w:p>
        </w:tc>
      </w:tr>
      <w:tr>
        <w:tc>
          <w:tcPr>
            <w:tcW w:type="dxa" w:w="451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Key Fields</w:t>
            </w:r>
          </w:p>
        </w:tc>
        <w:tc>
          <w:tcPr>
            <w:tcW w:type="dxa" w:w="451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Courier New" w:cs="Courier New" w:eastAsia="Courier New" w:hAnsi="Courier New"/>
                <w:color w:val="2D3748"/>
                <w:sz w:val="17"/>
                <w:szCs w:val="17"/>
              </w:rPr>
              <w:t xml:space="preserve">`ymd` (date string YYYYMMDD), `country` (kz/uz/kg/tj), `site` (source outlet), `t`/`p`/`u` (keyword match arrays, stored as TEXT, castable to JSONB), `ror` (boolean: OR hit), `rand` (boolean: AND hit)</w:t>
            </w:r>
          </w:p>
        </w:tc>
      </w:tr>
      <w:tr>
        <w:tc>
          <w:tcPr>
            <w:tcW w:type="dxa" w:w="451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Countries</w:t>
            </w:r>
          </w:p>
        </w:tc>
        <w:tc>
          <w:tcPr>
            <w:tcW w:type="dxa" w:w="451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Kazakhstan (kz), Uzbekistan (uz), Kyrgyzstan (kg), Tajikistan (tj)</w:t>
            </w:r>
          </w:p>
        </w:tc>
      </w:tr>
      <w:tr>
        <w:tc>
          <w:tcPr>
            <w:tcW w:type="dxa" w:w="451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Media Outlets</w:t>
            </w:r>
          </w:p>
        </w:tc>
        <w:tc>
          <w:tcPr>
            <w:tcW w:type="dxa" w:w="451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2 per country, 8 total (see Section 1.2)</w:t>
            </w:r>
          </w:p>
        </w:tc>
      </w:tr>
      <w:tr>
        <w:tc>
          <w:tcPr>
            <w:tcW w:type="dxa" w:w="451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Time Coverage</w:t>
            </w:r>
          </w:p>
        </w:tc>
        <w:tc>
          <w:tcPr>
            <w:tcW w:type="dxa" w:w="451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2009–present (stable from 2013)</w:t>
            </w:r>
          </w:p>
        </w:tc>
      </w:tr>
      <w:tr>
        <w:tc>
          <w:tcPr>
            <w:tcW w:type="dxa" w:w="4513"/>
            <w:tcBorders>
              <w:top w:val="none" w:color="FFFFFF" w:sz="0"/>
              <w:left w:val="none" w:color="FFFFFF" w:sz="0"/>
              <w:bottom w:val="single" w:color="2D3748" w:sz="12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Total Volume</w:t>
            </w:r>
          </w:p>
        </w:tc>
        <w:tc>
          <w:tcPr>
            <w:tcW w:type="dxa" w:w="4513"/>
            <w:tcBorders>
              <w:top w:val="none" w:color="FFFFFF" w:sz="0"/>
              <w:left w:val="none" w:color="FFFFFF" w:sz="0"/>
              <w:bottom w:val="single" w:color="2D3748" w:sz="12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3.08 million+ articles</w:t>
            </w:r>
          </w:p>
        </w:tc>
      </w:tr>
    </w:tbl>
    <w:p>
      <w:pPr>
        <w:spacing w:after="80"/>
      </w:pPr>
    </w:p>
    <w:p>
      <w:pPr>
        <w:spacing w:after="100" w:before="240"/>
      </w:pPr>
      <w:r>
        <w:rPr>
          <w:rFonts w:ascii="Arial" w:cs="Arial" w:eastAsia="Arial" w:hAnsi="Arial"/>
          <w:b/>
          <w:bCs/>
          <w:color w:val="2C5282"/>
          <w:sz w:val="22"/>
          <w:szCs w:val="22"/>
        </w:rPr>
        <w:t xml:space="preserve">1.2 Media Outlets</w:t>
      </w:r>
    </w:p>
    <w:p>
      <w:pPr>
        <w:spacing w:before="8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8"/>
        <w:gridCol w:w="3008"/>
        <w:gridCol w:w="3010"/>
      </w:tblGrid>
      <w:tr>
        <w:tc>
          <w:tcPr>
            <w:tcW w:type="dxa" w:w="3008"/>
            <w:tcBorders>
              <w:top w:val="single" w:color="2D3748" w:sz="12"/>
              <w:left w:val="none" w:color="FFFFFF" w:sz="0"/>
              <w:bottom w:val="single" w:color="2D3748" w:sz="6"/>
              <w:right w:val="none" w:color="FFFFFF" w:sz="0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b/>
                <w:bCs/>
                <w:color w:val="1A365D"/>
                <w:sz w:val="17"/>
                <w:szCs w:val="17"/>
              </w:rPr>
              <w:t xml:space="preserve">Country</w:t>
            </w:r>
          </w:p>
        </w:tc>
        <w:tc>
          <w:tcPr>
            <w:tcW w:type="dxa" w:w="3008"/>
            <w:tcBorders>
              <w:top w:val="single" w:color="2D3748" w:sz="12"/>
              <w:left w:val="none" w:color="FFFFFF" w:sz="0"/>
              <w:bottom w:val="single" w:color="2D3748" w:sz="6"/>
              <w:right w:val="none" w:color="FFFFFF" w:sz="0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b/>
                <w:bCs/>
                <w:color w:val="1A365D"/>
                <w:sz w:val="17"/>
                <w:szCs w:val="17"/>
              </w:rPr>
              <w:t xml:space="preserve">Outlet 1</w:t>
            </w:r>
          </w:p>
        </w:tc>
        <w:tc>
          <w:tcPr>
            <w:tcW w:type="dxa" w:w="3010"/>
            <w:tcBorders>
              <w:top w:val="single" w:color="2D3748" w:sz="12"/>
              <w:left w:val="none" w:color="FFFFFF" w:sz="0"/>
              <w:bottom w:val="single" w:color="2D3748" w:sz="6"/>
              <w:right w:val="none" w:color="FFFFFF" w:sz="0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b/>
                <w:bCs/>
                <w:color w:val="1A365D"/>
                <w:sz w:val="17"/>
                <w:szCs w:val="17"/>
              </w:rPr>
              <w:t xml:space="preserve">Outlet 2</w:t>
            </w:r>
          </w:p>
        </w:tc>
      </w:tr>
      <w:tr>
        <w:tc>
          <w:tcPr>
            <w:tcW w:type="dxa" w:w="300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KZ</w:t>
            </w:r>
          </w:p>
        </w:tc>
        <w:tc>
          <w:tcPr>
            <w:tcW w:type="dxa" w:w="300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inform.kz (general news)</w:t>
            </w:r>
          </w:p>
        </w:tc>
        <w:tc>
          <w:tcPr>
            <w:tcW w:type="dxa" w:w="301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forbes.kz (business/financial)</w:t>
            </w:r>
          </w:p>
        </w:tc>
      </w:tr>
      <w:tr>
        <w:tc>
          <w:tcPr>
            <w:tcW w:type="dxa" w:w="300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UZ</w:t>
            </w:r>
          </w:p>
        </w:tc>
        <w:tc>
          <w:tcPr>
            <w:tcW w:type="dxa" w:w="300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uza.uz (state news agency)</w:t>
            </w:r>
          </w:p>
        </w:tc>
        <w:tc>
          <w:tcPr>
            <w:tcW w:type="dxa" w:w="301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kun.uz (general news)</w:t>
            </w:r>
          </w:p>
        </w:tc>
      </w:tr>
      <w:tr>
        <w:tc>
          <w:tcPr>
            <w:tcW w:type="dxa" w:w="300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KG</w:t>
            </w:r>
          </w:p>
        </w:tc>
        <w:tc>
          <w:tcPr>
            <w:tcW w:type="dxa" w:w="300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kaktus.media (general news)</w:t>
            </w:r>
          </w:p>
        </w:tc>
        <w:tc>
          <w:tcPr>
            <w:tcW w:type="dxa" w:w="301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24.kg (general news)</w:t>
            </w:r>
          </w:p>
        </w:tc>
      </w:tr>
      <w:tr>
        <w:tc>
          <w:tcPr>
            <w:tcW w:type="dxa" w:w="3008"/>
            <w:tcBorders>
              <w:top w:val="none" w:color="FFFFFF" w:sz="0"/>
              <w:left w:val="none" w:color="FFFFFF" w:sz="0"/>
              <w:bottom w:val="single" w:color="2D3748" w:sz="12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TJ</w:t>
            </w:r>
          </w:p>
        </w:tc>
        <w:tc>
          <w:tcPr>
            <w:tcW w:type="dxa" w:w="3008"/>
            <w:tcBorders>
              <w:top w:val="none" w:color="FFFFFF" w:sz="0"/>
              <w:left w:val="none" w:color="FFFFFF" w:sz="0"/>
              <w:bottom w:val="single" w:color="2D3748" w:sz="12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asiaplustj.info (general news)</w:t>
            </w:r>
          </w:p>
        </w:tc>
        <w:tc>
          <w:tcPr>
            <w:tcW w:type="dxa" w:w="3010"/>
            <w:tcBorders>
              <w:top w:val="none" w:color="FFFFFF" w:sz="0"/>
              <w:left w:val="none" w:color="FFFFFF" w:sz="0"/>
              <w:bottom w:val="single" w:color="2D3748" w:sz="12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avesta.tj (general news)</w:t>
            </w:r>
          </w:p>
        </w:tc>
      </w:tr>
    </w:tbl>
    <w:p>
      <w:pPr>
        <w:spacing w:after="80"/>
      </w:pPr>
    </w:p>
    <w:p>
      <w:pPr>
        <w:spacing w:after="100" w:before="240"/>
      </w:pPr>
      <w:r>
        <w:rPr>
          <w:rFonts w:ascii="Arial" w:cs="Arial" w:eastAsia="Arial" w:hAnsi="Arial"/>
          <w:b/>
          <w:bCs/>
          <w:color w:val="2C5282"/>
          <w:sz w:val="22"/>
          <w:szCs w:val="22"/>
        </w:rPr>
        <w:t xml:space="preserve">1.3 Key Definitions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</w:t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OR hit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 (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ror = TRUE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): Article mentions at least one keyword from any of the three categories (Trade, Policy, Uncertainty)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</w:t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AND hit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 (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rand = TRUE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): Article simultaneously matches keywords from all three categories (T ∩ P ∩ U) — these are TPU-relevant articles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</w:t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f_ratio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AND_count / OR_count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 — the proportion of policy-related articles that address all three dimensions of trade policy uncertainty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</w:t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OR coverage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OR_count / total_news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 — the share of all articles touching on trade, policy, or uncertainty topics</w:t>
      </w:r>
    </w:p>
    <w:p>
      <w:pPr>
        <w:spacing w:after="100" w:before="100"/>
      </w:pPr>
    </w:p>
    <w:p>
      <w:pPr>
        <w:pBdr>
          <w:bottom w:val="single" w:color="2C5282" w:sz="6" w:space="4"/>
        </w:pBdr>
        <w:spacing w:after="120" w:before="300"/>
      </w:pPr>
      <w:r>
        <w:rPr>
          <w:rFonts w:ascii="Arial" w:cs="Arial" w:eastAsia="Arial" w:hAnsi="Arial"/>
          <w:b/>
          <w:bCs/>
          <w:color w:val="1A365D"/>
          <w:sz w:val="26"/>
          <w:szCs w:val="26"/>
        </w:rPr>
        <w:t xml:space="preserve">2. Queries and Methodology</w:t>
      </w:r>
    </w:p>
    <w:p>
      <w:pPr>
        <w:spacing w:after="100" w:before="240"/>
      </w:pPr>
      <w:r>
        <w:rPr>
          <w:rFonts w:ascii="Arial" w:cs="Arial" w:eastAsia="Arial" w:hAnsi="Arial"/>
          <w:b/>
          <w:bCs/>
          <w:color w:val="2C5282"/>
          <w:sz w:val="22"/>
          <w:szCs w:val="22"/>
        </w:rPr>
        <w:t xml:space="preserve">2.1 Query 1: Quarterly Overview (Current vs Previous vs Year-Ago Quarter)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Purpose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Compare aggregate news volumes, OR/AND hit counts, and f_ratios across Q1 2026, Q4 2025, and Q1 2025 for each country. This provides the core comparative framework for the quarterly report.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Output File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Q1-quarterly-overview.csv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</w:p>
    <w:p>
      <w:pPr>
        <w:shd w:fill="f8f8f8" w:val="clear"/>
        <w:spacing w:after="80" w:before="80"/>
      </w:pPr>
      <w:r>
        <w:rPr>
          <w:rFonts w:ascii="Courier New" w:cs="Courier New" w:eastAsia="Courier New" w:hAnsi="Courier New"/>
          <w:color w:val="4a5568"/>
          <w:sz w:val="15"/>
          <w:szCs w:val="15"/>
        </w:rPr>
        <w:t xml:space="preserve">WITH quarterly AS (
    SELECT 
        CASE 
            WHEN ymd BETWEEN '20260101' AND '20260331' THEN '2026-Q1'
            WHEN ymd BETWEEN '20251001' AND '20251231' THEN '2025-Q4'
            WHEN ymd BETWEEN '20250101' AND '20250331' THEN '2025-Q1'
        END AS quarter,
        country,
        COUNT(*) AS total,
        SUM(CASE WHEN ror THEN 1 ELSE 0 END) AS or_count,
        SUM(CASE WHEN rand THEN 1 ELSE 0 END) AS and_count
    FROM [news_table]
    WHERE (ymd BETWEEN '20260101' AND '20260331'
        OR ymd BETWEEN '20251001' AND '20251231'
        OR ymd BETWEEN '20250101' AND '20250331')
      AND country IN ('kz','uz','kg','tj')
    GROUP BY 1, 2
)
SELECT quarter, country, total, or_count, and_count,
    ROUND(and_count::numeric / NULLIF(or_count, 0), 4) AS f_ratio,
    ROUND(or_count::numeric / NULLIF(total, 0), 4) AS or_coverage
FROM quarterly
ORDER BY quarter, country;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Logic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Groups all articles into three quarterly buckets using the 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ymd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 date string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Counts total articles, OR-flagged articles, and AND-flagged articles per country per quarter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Computes f_ratio (AND/OR) and OR coverage (OR/total) as derived metrics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These aggregates are used to calculate QoQ and YoY changes in the report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Derived Metrics (computed from output)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</w:t>
      </w:r>
    </w:p>
    <w:p>
      <w:pPr>
        <w:spacing w:before="8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single" w:color="2D3748" w:sz="12"/>
              <w:left w:val="none" w:color="FFFFFF" w:sz="0"/>
              <w:bottom w:val="single" w:color="2D3748" w:sz="6"/>
              <w:right w:val="none" w:color="FFFFFF" w:sz="0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b/>
                <w:bCs/>
                <w:color w:val="1A365D"/>
                <w:sz w:val="17"/>
                <w:szCs w:val="17"/>
              </w:rPr>
              <w:t xml:space="preserve">Metric</w:t>
            </w:r>
          </w:p>
        </w:tc>
        <w:tc>
          <w:tcPr>
            <w:tcW w:type="dxa" w:w="4513"/>
            <w:tcBorders>
              <w:top w:val="single" w:color="2D3748" w:sz="12"/>
              <w:left w:val="none" w:color="FFFFFF" w:sz="0"/>
              <w:bottom w:val="single" w:color="2D3748" w:sz="6"/>
              <w:right w:val="none" w:color="FFFFFF" w:sz="0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b/>
                <w:bCs/>
                <w:color w:val="1A365D"/>
                <w:sz w:val="17"/>
                <w:szCs w:val="17"/>
              </w:rPr>
              <w:t xml:space="preserve">Formula</w:t>
            </w:r>
          </w:p>
        </w:tc>
      </w:tr>
      <w:tr>
        <w:tc>
          <w:tcPr>
            <w:tcW w:type="dxa" w:w="451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QoQ total change</w:t>
            </w:r>
          </w:p>
        </w:tc>
        <w:tc>
          <w:tcPr>
            <w:tcW w:type="dxa" w:w="451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(Q1_2026_total - Q4_2025_total) / Q4_2025_total</w:t>
            </w:r>
          </w:p>
        </w:tc>
      </w:tr>
      <w:tr>
        <w:tc>
          <w:tcPr>
            <w:tcW w:type="dxa" w:w="451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YoY total change</w:t>
            </w:r>
          </w:p>
        </w:tc>
        <w:tc>
          <w:tcPr>
            <w:tcW w:type="dxa" w:w="451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(Q1_2026_total - Q1_2025_total) / Q1_2025_total</w:t>
            </w:r>
          </w:p>
        </w:tc>
      </w:tr>
      <w:tr>
        <w:tc>
          <w:tcPr>
            <w:tcW w:type="dxa" w:w="4513"/>
            <w:tcBorders>
              <w:top w:val="none" w:color="FFFFFF" w:sz="0"/>
              <w:left w:val="none" w:color="FFFFFF" w:sz="0"/>
              <w:bottom w:val="single" w:color="2D3748" w:sz="12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Aggregate f_ratio</w:t>
            </w:r>
          </w:p>
        </w:tc>
        <w:tc>
          <w:tcPr>
            <w:tcW w:type="dxa" w:w="4513"/>
            <w:tcBorders>
              <w:top w:val="none" w:color="FFFFFF" w:sz="0"/>
              <w:left w:val="none" w:color="FFFFFF" w:sz="0"/>
              <w:bottom w:val="single" w:color="2D3748" w:sz="12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SUM(and_count) / SUM(or_count) across all countries in a quarter</w:t>
            </w:r>
          </w:p>
        </w:tc>
      </w:tr>
    </w:tbl>
    <w:p>
      <w:pPr>
        <w:spacing w:after="80"/>
      </w:pPr>
    </w:p>
    <w:p>
      <w:pPr>
        <w:spacing w:after="100" w:before="100"/>
      </w:pPr>
    </w:p>
    <w:p>
      <w:pPr>
        <w:spacing w:after="100" w:before="240"/>
      </w:pPr>
      <w:r>
        <w:rPr>
          <w:rFonts w:ascii="Arial" w:cs="Arial" w:eastAsia="Arial" w:hAnsi="Arial"/>
          <w:b/>
          <w:bCs/>
          <w:color w:val="2C5282"/>
          <w:sz w:val="22"/>
          <w:szCs w:val="22"/>
        </w:rPr>
        <w:t xml:space="preserve">2.2 Query 2: Monthly Trend Within Quarter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Purpose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Break down Q1 2026 into its three constituent months (January, February, March) by country, revealing the intra-quarter evolution of TPU intensity.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Output File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Q2-monthly-trend.csv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</w:p>
    <w:p>
      <w:pPr>
        <w:shd w:fill="f8f8f8" w:val="clear"/>
        <w:spacing w:after="80" w:before="80"/>
      </w:pPr>
      <w:r>
        <w:rPr>
          <w:rFonts w:ascii="Courier New" w:cs="Courier New" w:eastAsia="Courier New" w:hAnsi="Courier New"/>
          <w:color w:val="4a5568"/>
          <w:sz w:val="15"/>
          <w:szCs w:val="15"/>
        </w:rPr>
        <w:t xml:space="preserve">SELECT 
    to_char(to_date(ymd, 'YYYYMMDD'), 'YYYY-MM') AS month,
    country,
    COUNT(*) AS total,
    SUM(CASE WHEN ror THEN 1 ELSE 0 END) AS or_count,
    SUM(CASE WHEN rand THEN 1 ELSE 0 END) AS and_count,
    ROUND(SUM(CASE WHEN rand THEN 1 ELSE 0 END)::numeric / 
          NULLIF(SUM(CASE WHEN ror THEN 1 ELSE 0 END), 0), 4) AS f_ratio
FROM [news_table]
WHERE ymd BETWEEN '20260101' AND '20260331'
  AND country IN ('kz','uz','kg','tj')
GROUP BY 1, 2
ORDER BY 1, 2;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Logic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Converts 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ymd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 to a 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YYYY-MM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 month label and groups by month × country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Enables analysis of how each country's TPU metrics evolved across the three months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Used in the report to identify patterns such as Kazakhstan's declining f_ratio vs Tajikistan's March spike</w:t>
      </w:r>
    </w:p>
    <w:p>
      <w:pPr>
        <w:spacing w:after="100" w:before="100"/>
      </w:pPr>
    </w:p>
    <w:p>
      <w:pPr>
        <w:spacing w:after="100" w:before="240"/>
      </w:pPr>
      <w:r>
        <w:rPr>
          <w:rFonts w:ascii="Arial" w:cs="Arial" w:eastAsia="Arial" w:hAnsi="Arial"/>
          <w:b/>
          <w:bCs/>
          <w:color w:val="2C5282"/>
          <w:sz w:val="22"/>
          <w:szCs w:val="22"/>
        </w:rPr>
        <w:t xml:space="preserve">2.3 Query 3: Weekly Trend (Fine-Grained Shock Timing)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Purpose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Provide week-level granularity (13 complete weeks in Q1) to precisely identify when uncertainty shocks peaked, troughed, and re-emerged.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Output File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Q3-weekly-trend.csv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</w:p>
    <w:p>
      <w:pPr>
        <w:shd w:fill="f8f8f8" w:val="clear"/>
        <w:spacing w:after="80" w:before="80"/>
      </w:pPr>
      <w:r>
        <w:rPr>
          <w:rFonts w:ascii="Courier New" w:cs="Courier New" w:eastAsia="Courier New" w:hAnsi="Courier New"/>
          <w:color w:val="4a5568"/>
          <w:sz w:val="15"/>
          <w:szCs w:val="15"/>
        </w:rPr>
        <w:t xml:space="preserve">SELECT 
    EXTRACT(WEEK FROM to_date(ymd, 'YYYYMMDD')) AS week_num,
    MIN(to_date(ymd, 'YYYYMMDD')) AS week_start,
    MAX(to_date(ymd, 'YYYYMMDD')) AS week_end,
    COUNT(*) AS total,
    SUM(CASE WHEN ror THEN 1 ELSE 0 END) AS hit_or,
    SUM(CASE WHEN rand THEN 1 ELSE 0 END) AS hit_and,
    ROUND(SUM(CASE WHEN rand THEN 1 ELSE 0 END)::numeric / 
          NULLIF(SUM(CASE WHEN ror THEN 1 ELSE 0 END), 0), 4) AS f_ratio
FROM [news_table]
WHERE ymd BETWEEN '20260101' AND '20260331'
  AND country IN ('kz','uz','kg','tj')
GROUP BY 1 ORDER BY 1;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Logic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Uses ISO week number (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EXTRACT(WEEK ...)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) to group articles into calendar weeks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Aggregates across all 4 countries to show the regional-level weekly pulse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Week 1 and Week 14 are partial weeks (fewer days) — the report accounts for this in interpretation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Key finding: "double-peak" structure with W2 peak (tariff implementation) and W10-W13 second wave</w:t>
      </w:r>
    </w:p>
    <w:p>
      <w:pPr>
        <w:spacing w:after="100" w:before="100"/>
      </w:pPr>
    </w:p>
    <w:p>
      <w:pPr>
        <w:spacing w:after="100" w:before="240"/>
      </w:pPr>
      <w:r>
        <w:rPr>
          <w:rFonts w:ascii="Arial" w:cs="Arial" w:eastAsia="Arial" w:hAnsi="Arial"/>
          <w:b/>
          <w:bCs/>
          <w:color w:val="2C5282"/>
          <w:sz w:val="22"/>
          <w:szCs w:val="22"/>
        </w:rPr>
        <w:t xml:space="preserve">2.4 Query 4: Media Outlet Contribution Matrix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Purpose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Decompose AND hits by individual media outlet to identify which news sources contribute most to the TPU signal and whether concentration risks exist.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Output File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Q4-site-contribution.csv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</w:p>
    <w:p>
      <w:pPr>
        <w:shd w:fill="f8f8f8" w:val="clear"/>
        <w:spacing w:after="80" w:before="80"/>
      </w:pPr>
      <w:r>
        <w:rPr>
          <w:rFonts w:ascii="Courier New" w:cs="Courier New" w:eastAsia="Courier New" w:hAnsi="Courier New"/>
          <w:color w:val="4a5568"/>
          <w:sz w:val="15"/>
          <w:szCs w:val="15"/>
        </w:rPr>
        <w:t xml:space="preserve">SELECT country, site,
    COUNT(*) AS total,
    SUM(CASE WHEN ror THEN 1 ELSE 0 END) AS or_count,
    SUM(CASE WHEN rand THEN 1 ELSE 0 END) AS and_count,
    ROUND(SUM(CASE WHEN rand THEN 1 ELSE 0 END)::numeric / 
          NULLIF(SUM(CASE WHEN ror THEN 1 ELSE 0 END), 0), 4) AS f_ratio,
    ROUND(SUM(CASE WHEN ror THEN 1 ELSE 0 END)::numeric / 
          NULLIF(COUNT(*), 0), 4) AS or_coverage
FROM [news_table]
WHERE ymd BETWEEN '20260101' AND '20260331'
  AND country IN ('kz','uz','kg','tj')
GROUP BY 1, 2
ORDER BY 1, and_count DESC;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Logic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Groups by country × site to show each outlet's individual contribution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Computes f_ratio and OR coverage per outlet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Enables identification of outlets with disproportionately high TPU concentration (e.g., uza.uz and forbes.kz both at f ≈ 0.127)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The report uses this to assess whether the index is driven by a balanced media mix or concentrated in specific outlets</w:t>
      </w:r>
    </w:p>
    <w:p>
      <w:pPr>
        <w:spacing w:after="100" w:before="100"/>
      </w:pPr>
    </w:p>
    <w:p>
      <w:pPr>
        <w:spacing w:after="100" w:before="240"/>
      </w:pPr>
      <w:r>
        <w:rPr>
          <w:rFonts w:ascii="Arial" w:cs="Arial" w:eastAsia="Arial" w:hAnsi="Arial"/>
          <w:b/>
          <w:bCs/>
          <w:color w:val="2C5282"/>
          <w:sz w:val="22"/>
          <w:szCs w:val="22"/>
        </w:rPr>
        <w:t xml:space="preserve">2.5 Query 5: Top Keywords by Category (T/P/U)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Purpose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Extract the most frequently matched keywords from AND-flagged articles to identify the substantive topics driving the TPU signal.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Output File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Q5-top-keywords-global.csv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</w:p>
    <w:p>
      <w:pPr>
        <w:shd w:fill="f8f8f8" w:val="clear"/>
        <w:spacing w:after="80" w:before="80"/>
      </w:pPr>
      <w:r>
        <w:rPr>
          <w:rFonts w:ascii="Courier New" w:cs="Courier New" w:eastAsia="Courier New" w:hAnsi="Courier New"/>
          <w:color w:val="4a5568"/>
          <w:sz w:val="15"/>
          <w:szCs w:val="15"/>
        </w:rPr>
        <w:t xml:space="preserve">SELECT kw_type, kw_value, COUNT(*) AS freq
FROM (
    SELECT 'T' AS kw_type, jsonb_array_elements_text(t::jsonb) AS kw_value
    FROM [news_table]
    WHERE ymd BETWEEN '20260101' AND '20260331'
      AND rand IS TRUE AND country IN ('kz','uz','kg','tj')
      AND t IS NOT NULL AND t != '' AND t != 'NaN'
    UNION ALL
    SELECT 'P', jsonb_array_elements_text(p::jsonb)
    FROM [news_table]
    WHERE ymd BETWEEN '20260101' AND '20260331'
      AND rand IS TRUE AND country IN ('kz','uz','kg','tj')
      AND p IS NOT NULL AND p != '' AND p != 'NaN'
    UNION ALL
    SELECT 'U', jsonb_array_elements_text(u::jsonb)
    FROM [news_table]
    WHERE ymd BETWEEN '20260101' AND '20260331'
      AND rand IS TRUE AND country IN ('kz','uz','kg','tj')
      AND u IS NOT NULL AND u != '' AND u != 'NaN'
) sub
GROUP BY 1, 2
ORDER BY 1, freq DESC
LIMIT 60;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Logic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The 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t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, 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p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, 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u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 fields store matched keywords as JSON arrays in TEXT format; 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::jsonb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 cast is required before using 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jsonb_array_elements_text()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NULL, empty string, and 'NaN' values are filtered out to prevent cast errors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Only AND-flagged articles (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rand IS TRUE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) are included — these are the articles that actually contribute to the TPU index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Raw output contains Russian word forms (declensions); post-processing merges forms by lemma (e.g., торговли + торговле + торговлю → торговля/trade)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Post-Processing (Lemma Merging)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Russian is a highly inflected language. The same concept appears in multiple grammatical forms in news text. For accurate frequency analysis, word forms were merged into base lemmas during report preparation. For example:</w:t>
      </w:r>
    </w:p>
    <w:p>
      <w:pPr>
        <w:spacing w:before="8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8"/>
        <w:gridCol w:w="3008"/>
        <w:gridCol w:w="3010"/>
      </w:tblGrid>
      <w:tr>
        <w:tc>
          <w:tcPr>
            <w:tcW w:type="dxa" w:w="3008"/>
            <w:tcBorders>
              <w:top w:val="single" w:color="2D3748" w:sz="12"/>
              <w:left w:val="none" w:color="FFFFFF" w:sz="0"/>
              <w:bottom w:val="single" w:color="2D3748" w:sz="6"/>
              <w:right w:val="none" w:color="FFFFFF" w:sz="0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b/>
                <w:bCs/>
                <w:color w:val="1A365D"/>
                <w:sz w:val="17"/>
                <w:szCs w:val="17"/>
              </w:rPr>
              <w:t xml:space="preserve">Raw Forms</w:t>
            </w:r>
          </w:p>
        </w:tc>
        <w:tc>
          <w:tcPr>
            <w:tcW w:type="dxa" w:w="3008"/>
            <w:tcBorders>
              <w:top w:val="single" w:color="2D3748" w:sz="12"/>
              <w:left w:val="none" w:color="FFFFFF" w:sz="0"/>
              <w:bottom w:val="single" w:color="2D3748" w:sz="6"/>
              <w:right w:val="none" w:color="FFFFFF" w:sz="0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b/>
                <w:bCs/>
                <w:color w:val="1A365D"/>
                <w:sz w:val="17"/>
                <w:szCs w:val="17"/>
              </w:rPr>
              <w:t xml:space="preserve">Merged Lemma</w:t>
            </w:r>
          </w:p>
        </w:tc>
        <w:tc>
          <w:tcPr>
            <w:tcW w:type="dxa" w:w="3010"/>
            <w:tcBorders>
              <w:top w:val="single" w:color="2D3748" w:sz="12"/>
              <w:left w:val="none" w:color="FFFFFF" w:sz="0"/>
              <w:bottom w:val="single" w:color="2D3748" w:sz="6"/>
              <w:right w:val="none" w:color="FFFFFF" w:sz="0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b/>
                <w:bCs/>
                <w:color w:val="1A365D"/>
                <w:sz w:val="17"/>
                <w:szCs w:val="17"/>
              </w:rPr>
              <w:t xml:space="preserve">Combined Frequency</w:t>
            </w:r>
          </w:p>
        </w:tc>
      </w:tr>
      <w:tr>
        <w:tc>
          <w:tcPr>
            <w:tcW w:type="dxa" w:w="300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торговли, торговле, торговлю, торговля, торговых, торговые, торгового, торговый, торговым, торговыми</w:t>
            </w:r>
          </w:p>
        </w:tc>
        <w:tc>
          <w:tcPr>
            <w:tcW w:type="dxa" w:w="300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торговля/trade</w:t>
            </w:r>
          </w:p>
        </w:tc>
        <w:tc>
          <w:tcPr>
            <w:tcW w:type="dxa" w:w="301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1,283</w:t>
            </w:r>
          </w:p>
        </w:tc>
      </w:tr>
      <w:tr>
        <w:tc>
          <w:tcPr>
            <w:tcW w:type="dxa" w:w="300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риски, рисков, риск, риска</w:t>
            </w:r>
          </w:p>
        </w:tc>
        <w:tc>
          <w:tcPr>
            <w:tcW w:type="dxa" w:w="300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риск/risk</w:t>
            </w:r>
          </w:p>
        </w:tc>
        <w:tc>
          <w:tcPr>
            <w:tcW w:type="dxa" w:w="301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1,099</w:t>
            </w:r>
          </w:p>
        </w:tc>
      </w:tr>
      <w:tr>
        <w:tc>
          <w:tcPr>
            <w:tcW w:type="dxa" w:w="3008"/>
            <w:tcBorders>
              <w:top w:val="none" w:color="FFFFFF" w:sz="0"/>
              <w:left w:val="none" w:color="FFFFFF" w:sz="0"/>
              <w:bottom w:val="single" w:color="2D3748" w:sz="12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законом, закон, закона, законы, законе, закону, законодательство</w:t>
            </w:r>
          </w:p>
        </w:tc>
        <w:tc>
          <w:tcPr>
            <w:tcW w:type="dxa" w:w="3008"/>
            <w:tcBorders>
              <w:top w:val="none" w:color="FFFFFF" w:sz="0"/>
              <w:left w:val="none" w:color="FFFFFF" w:sz="0"/>
              <w:bottom w:val="single" w:color="2D3748" w:sz="12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закон/law</w:t>
            </w:r>
          </w:p>
        </w:tc>
        <w:tc>
          <w:tcPr>
            <w:tcW w:type="dxa" w:w="3010"/>
            <w:tcBorders>
              <w:top w:val="none" w:color="FFFFFF" w:sz="0"/>
              <w:left w:val="none" w:color="FFFFFF" w:sz="0"/>
              <w:bottom w:val="single" w:color="2D3748" w:sz="12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1,028</w:t>
            </w:r>
          </w:p>
        </w:tc>
      </w:tr>
    </w:tbl>
    <w:p>
      <w:pPr>
        <w:spacing w:after="80"/>
      </w:pP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This merging was performed programmatically using a predefined mapping table and applied consistently across all keyword analyses (Queries 5, 6, and 7).</w:t>
      </w:r>
    </w:p>
    <w:p>
      <w:pPr>
        <w:spacing w:after="100" w:before="100"/>
      </w:pPr>
    </w:p>
    <w:p>
      <w:pPr>
        <w:spacing w:after="100" w:before="240"/>
      </w:pPr>
      <w:r>
        <w:rPr>
          <w:rFonts w:ascii="Arial" w:cs="Arial" w:eastAsia="Arial" w:hAnsi="Arial"/>
          <w:b/>
          <w:bCs/>
          <w:color w:val="2C5282"/>
          <w:sz w:val="22"/>
          <w:szCs w:val="22"/>
        </w:rPr>
        <w:t xml:space="preserve">2.6 Query 6: Top Keywords by Country × Category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Purpose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Identify how the TPU narrative differs across the four countries by examining each country's most frequent keywords independently.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Output File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Q6-top-keywords-by-country.csv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</w:p>
    <w:p>
      <w:pPr>
        <w:shd w:fill="f8f8f8" w:val="clear"/>
        <w:spacing w:after="80" w:before="80"/>
      </w:pPr>
      <w:r>
        <w:rPr>
          <w:rFonts w:ascii="Courier New" w:cs="Courier New" w:eastAsia="Courier New" w:hAnsi="Courier New"/>
          <w:color w:val="4a5568"/>
          <w:sz w:val="15"/>
          <w:szCs w:val="15"/>
        </w:rPr>
        <w:t xml:space="preserve">SELECT country, kw_type, kw_value, freq
FROM (
    SELECT country, kw_type, kw_value, COUNT(*) AS freq,
        ROW_NUMBER() OVER (
            PARTITION BY country, kw_type ORDER BY COUNT(*) DESC
        ) AS rn
    FROM (
        SELECT country, 'T' AS kw_type, 
            jsonb_array_elements_text(t::jsonb) AS kw_value
        FROM [news_table]
        WHERE ymd BETWEEN '20260101' AND '20260331'
          AND rand IS TRUE AND country IN ('kz','uz','kg','tj')
          AND t IS NOT NULL AND t != '' AND t != 'NaN'
        UNION ALL
        SELECT country, 'P', jsonb_array_elements_text(p::jsonb)
        FROM [news_table]
        WHERE ymd BETWEEN '20260101' AND '20260331'
          AND rand IS TRUE AND country IN ('kz','uz','kg','tj')
          AND p IS NOT NULL AND p != '' AND p != 'NaN'
        UNION ALL
        SELECT country, 'U', jsonb_array_elements_text(u::jsonb)
        FROM [news_table]
        WHERE ymd BETWEEN '20260101' AND '20260331'
          AND rand IS TRUE AND country IN ('kz','uz','kg','tj')
          AND u IS NOT NULL AND u != '' AND u != 'NaN'
    ) sub
    GROUP BY 1, 2, 3
) ranked
WHERE rn &lt;= 10
ORDER BY country, kw_type, freq DESC;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Logic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Same keyword extraction as Query 5, but partitioned by country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Uses 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ROW_NUMBER()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 window function to select top 10 keywords per country × category combination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Same lemma-merging post-processing applied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Key finding: Kazakhstan dominated by "law" (закон, 544), Uzbekistan by "agreement" (соглашение, 434), Kyrgyzstan by "sanctions" (санкции, 68 relative to its size), Tajikistan by "instability" (нестабильность, 41)</w:t>
      </w:r>
    </w:p>
    <w:p>
      <w:pPr>
        <w:spacing w:after="100" w:before="100"/>
      </w:pPr>
    </w:p>
    <w:p>
      <w:pPr>
        <w:spacing w:after="100" w:before="240"/>
      </w:pPr>
      <w:r>
        <w:rPr>
          <w:rFonts w:ascii="Arial" w:cs="Arial" w:eastAsia="Arial" w:hAnsi="Arial"/>
          <w:b/>
          <w:bCs/>
          <w:color w:val="2C5282"/>
          <w:sz w:val="22"/>
          <w:szCs w:val="22"/>
        </w:rPr>
        <w:t xml:space="preserve">2.7 Query 7: Year-over-Year Keyword Changes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Purpose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Compare keyword frequencies between Q1 2026 and Q1 2025 to identify which topics are newly emerging or rapidly growing, revealing structural shifts in the uncertainty landscape.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Output File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Q7-keyword-yoy-change.csv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</w:p>
    <w:p>
      <w:pPr>
        <w:shd w:fill="f8f8f8" w:val="clear"/>
        <w:spacing w:after="80" w:before="80"/>
      </w:pPr>
      <w:r>
        <w:rPr>
          <w:rFonts w:ascii="Courier New" w:cs="Courier New" w:eastAsia="Courier New" w:hAnsi="Courier New"/>
          <w:color w:val="4a5568"/>
          <w:sz w:val="15"/>
          <w:szCs w:val="15"/>
        </w:rPr>
        <w:t xml:space="preserve">WITH kw_2026 AS (
    SELECT kw_type, kw_value, COUNT(*) AS freq_2026
    FROM (
        SELECT 'T' AS kw_type, jsonb_array_elements_text(t::jsonb) AS kw_value
        FROM [news_table]
        WHERE ymd BETWEEN '20260101' AND '20260331'
          AND rand IS TRUE AND country IN ('kz','uz','kg','tj')
          AND t IS NOT NULL AND t != '' AND t != 'NaN'
        UNION ALL
        SELECT 'P', jsonb_array_elements_text(p::jsonb)
        FROM [news_table]
        WHERE ymd BETWEEN '20260101' AND '20260331'
          AND rand IS TRUE AND country IN ('kz','uz','kg','tj')
          AND p IS NOT NULL AND p != '' AND p != 'NaN'
        UNION ALL
        SELECT 'U', jsonb_array_elements_text(u::jsonb)
        FROM [news_table]
        WHERE ymd BETWEEN '20260101' AND '20260331'
          AND rand IS TRUE AND country IN ('kz','uz','kg','tj')
          AND u IS NOT NULL AND u != '' AND u != 'NaN'
    ) sub GROUP BY 1, 2
),
kw_2025 AS (
    SELECT kw_type, kw_value, COUNT(*) AS freq_2025
    FROM (
        SELECT 'T' AS kw_type, jsonb_array_elements_text(t::jsonb) AS kw_value
        FROM [news_table]
        WHERE ymd BETWEEN '20250101' AND '20250331'
          AND rand IS TRUE AND country IN ('kz','uz','kg','tj')
          AND t IS NOT NULL AND t != '' AND t != 'NaN'
        UNION ALL
        SELECT 'P', jsonb_array_elements_text(p::jsonb)
        FROM [news_table]
        WHERE ymd BETWEEN '20250101' AND '20250331'
          AND rand IS TRUE AND country IN ('kz','uz','kg','tj')
          AND p IS NOT NULL AND p != '' AND p != 'NaN'
        UNION ALL
        SELECT 'U', jsonb_array_elements_text(u::jsonb)
        FROM [news_table]
        WHERE ymd BETWEEN '20250101' AND '20250331'
          AND rand IS TRUE AND country IN ('kz','uz','kg','tj')
          AND u IS NOT NULL AND u != '' AND u != 'NaN'
    ) sub GROUP BY 1, 2
)
SELECT COALESCE(a.kw_type, b.kw_type) AS kw_type,
    COALESCE(a.kw_value, b.kw_value) AS kw_value,
    COALESCE(a.freq_2026, 0) AS freq_2026,
    COALESCE(b.freq_2025, 0) AS freq_2025,
    COALESCE(a.freq_2026, 0) - COALESCE(b.freq_2025, 0) AS change
FROM kw_2026 a
FULL OUTER JOIN kw_2025 b 
    ON a.kw_type = b.kw_type AND a.kw_value = b.kw_value
ORDER BY change DESC
LIMIT 30;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Logic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Runs the same keyword extraction for two periods (Q1 2026 and Q1 2025) using CTEs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Full outer joins to capture keywords that appear in either or both periods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Ranks by absolute change (not percentage) to highlight the most impactful shifts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Same lemma-merging post-processing applied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Key finding: P-category keywords grew fastest (law +491%, ministry +389%), indicating that policy response itself became a primary uncertainty driver</w:t>
      </w:r>
    </w:p>
    <w:p>
      <w:pPr>
        <w:spacing w:after="100" w:before="100"/>
      </w:pPr>
    </w:p>
    <w:p>
      <w:pPr>
        <w:spacing w:after="100" w:before="240"/>
      </w:pPr>
      <w:r>
        <w:rPr>
          <w:rFonts w:ascii="Arial" w:cs="Arial" w:eastAsia="Arial" w:hAnsi="Arial"/>
          <w:b/>
          <w:bCs/>
          <w:color w:val="2C5282"/>
          <w:sz w:val="22"/>
          <w:szCs w:val="22"/>
        </w:rPr>
        <w:t xml:space="preserve">2.8 Query 8: 8-Quarter f_ratio Trend (2-Year Longitudinal)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Purpose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Place Q1 2026 in the context of an 8-quarter (2-year) timeline to identify long-term structural trends in TPU intensity by country.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Output File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Q8-8quarter-fratio-trend.csv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</w:p>
    <w:p>
      <w:pPr>
        <w:shd w:fill="f8f8f8" w:val="clear"/>
        <w:spacing w:after="80" w:before="80"/>
      </w:pPr>
      <w:r>
        <w:rPr>
          <w:rFonts w:ascii="Courier New" w:cs="Courier New" w:eastAsia="Courier New" w:hAnsi="Courier New"/>
          <w:color w:val="4a5568"/>
          <w:sz w:val="15"/>
          <w:szCs w:val="15"/>
        </w:rPr>
        <w:t xml:space="preserve">SELECT 
    EXTRACT(YEAR FROM to_date(ymd, 'YYYYMMDD'))::int AS yr,
    EXTRACT(QUARTER FROM to_date(ymd, 'YYYYMMDD'))::int AS qtr,
    country,
    COUNT(*) AS total,
    SUM(CASE WHEN ror THEN 1 ELSE 0 END) AS or_count,
    SUM(CASE WHEN rand THEN 1 ELSE 0 END) AS and_count,
    ROUND(SUM(CASE WHEN rand THEN 1 ELSE 0 END)::numeric / 
          NULLIF(SUM(CASE WHEN ror THEN 1 ELSE 0 END), 0), 4) AS f_ratio
FROM [news_table]
WHERE ymd &gt;= '20240101' AND ymd &lt;= '20260331'
  AND country IN ('kz','uz','kg','tj')
GROUP BY 1, 2, 3
ORDER BY 1, 2, 3;</w:t>
      </w:r>
    </w:p>
    <w:p>
      <w:pPr>
        <w:spacing w:after="60" w:line="320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Logic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Extracts year and quarter from the date to create quarterly buckets over 2+ years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Provides country-level f_ratio trajectories for long-cycle analysis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Key findings: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  - UZ f_ratio rose from 0.02 (2024) to 0.09 (2026-Q1) — nearly 5× increase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  - KZ f_ratio declined from 0.12 to 0.06 despite AND count tripling — due to news volume explosion diluting the ratio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  - Cross-country f_ratio dispersion converged from 4.9× (2024-Q1) to 1.9× (2026-Q1), indicating regionalization of uncertainty</w:t>
      </w:r>
    </w:p>
    <w:p>
      <w:pPr>
        <w:spacing w:after="100" w:before="100"/>
      </w:pPr>
    </w:p>
    <w:p>
      <w:pPr>
        <w:pBdr>
          <w:bottom w:val="single" w:color="2C5282" w:sz="6" w:space="4"/>
        </w:pBdr>
        <w:spacing w:after="120" w:before="300"/>
      </w:pPr>
      <w:r>
        <w:rPr>
          <w:rFonts w:ascii="Arial" w:cs="Arial" w:eastAsia="Arial" w:hAnsi="Arial"/>
          <w:b/>
          <w:bCs/>
          <w:color w:val="1A365D"/>
          <w:sz w:val="26"/>
          <w:szCs w:val="26"/>
        </w:rPr>
        <w:t xml:space="preserve">3. Data Integrity Notes</w:t>
      </w:r>
    </w:p>
    <w:p>
      <w:pPr>
        <w:spacing w:after="100" w:before="240"/>
      </w:pPr>
      <w:r>
        <w:rPr>
          <w:rFonts w:ascii="Arial" w:cs="Arial" w:eastAsia="Arial" w:hAnsi="Arial"/>
          <w:b/>
          <w:bCs/>
          <w:color w:val="2C5282"/>
          <w:sz w:val="22"/>
          <w:szCs w:val="22"/>
        </w:rPr>
        <w:t xml:space="preserve">3.1 OR and AND Flag Definitions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The 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ror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 and </w:t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rand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 boolean fields are computed at data ingestion time based on keyword matching against predefined Russian-language keyword dictionaries: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</w:t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T (Trade)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торговля, экспорт, импорт, тариф, пошлина, санкции, соглашение, договор, ВТО, таможня, and their grammatical variants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</w:t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P (Policy)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политика, правительство, министерство, закон, реформа, решение, меры, стратегия, налог, and their grammatical variants  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</w:t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U (Uncertainty)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: риск, неопределённость, нестабильность, кризис, напряжённость, and their grammatical variants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ror = TRUE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 when </w:t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any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 of T, P, U keyword lists is non-empty.  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/>
      </w:r>
      <w:r>
        <w:rPr>
          <w:rFonts w:ascii="Courier New" w:cs="Courier New" w:eastAsia="Courier New" w:hAnsi="Courier New"/>
          <w:color w:val="4a5568"/>
          <w:sz w:val="18"/>
          <w:szCs w:val="18"/>
        </w:rPr>
        <w:t xml:space="preserve">rand = TRUE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 when </w:t>
      </w:r>
      <w:r>
        <w:rPr>
          <w:rFonts w:ascii="Arial" w:cs="Arial" w:eastAsia="Arial" w:hAnsi="Arial"/>
          <w:b/>
          <w:bCs/>
          <w:color w:val="2D3748"/>
          <w:sz w:val="20"/>
          <w:szCs w:val="20"/>
        </w:rPr>
        <w:t xml:space="preserve">all three</w:t>
      </w:r>
      <w:r>
        <w:rPr>
          <w:rFonts w:ascii="Arial" w:cs="Arial" w:eastAsia="Arial" w:hAnsi="Arial"/>
          <w:color w:val="2D3748"/>
          <w:sz w:val="20"/>
          <w:szCs w:val="20"/>
        </w:rPr>
        <w:t xml:space="preserve"> of T, P, U keyword lists are non-empty.</w:t>
      </w:r>
    </w:p>
    <w:p>
      <w:pPr>
        <w:spacing w:after="100" w:before="240"/>
      </w:pPr>
      <w:r>
        <w:rPr>
          <w:rFonts w:ascii="Arial" w:cs="Arial" w:eastAsia="Arial" w:hAnsi="Arial"/>
          <w:b/>
          <w:bCs/>
          <w:color w:val="2C5282"/>
          <w:sz w:val="22"/>
          <w:szCs w:val="22"/>
        </w:rPr>
        <w:t xml:space="preserve">3.2 Data Volume Changes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A significant increase in total news volume was observed starting Q4 2025, particularly for Kazakhstan (from ~1,300 articles/quarter in 2024–2025 to ~11,000 in Q1 2026). This reflects expanded data collection coverage rather than a methodological change. The f_ratio metric (AND/OR) normalizes for volume changes, making it robust to collection scale variations. The report explicitly notes this volume effect when discussing Kazakhstan's declining f_ratio alongside rising AND counts.</w:t>
      </w:r>
    </w:p>
    <w:p>
      <w:pPr>
        <w:spacing w:after="100" w:before="240"/>
      </w:pPr>
      <w:r>
        <w:rPr>
          <w:rFonts w:ascii="Arial" w:cs="Arial" w:eastAsia="Arial" w:hAnsi="Arial"/>
          <w:b/>
          <w:bCs/>
          <w:color w:val="2C5282"/>
          <w:sz w:val="22"/>
          <w:szCs w:val="22"/>
        </w:rPr>
        <w:t xml:space="preserve">3.3 Keyword Analysis Limitations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Keywords are matched at the surface form level (exact string matching against a predefined dictionary), not via NLP lemmatization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The post-processing lemma merging described in Section 2.5 is applied only during report analysis, not in the database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Some Russian word forms may not be captured by the dictionary (e.g., rare declensions or misspellings)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- The keyword dictionaries are the same ones used by Baker, Bloom &amp; Davis (2016) EPU methodology, adapted to Russian</w:t>
      </w:r>
    </w:p>
    <w:p>
      <w:pPr>
        <w:spacing w:after="100" w:before="240"/>
      </w:pPr>
      <w:r>
        <w:rPr>
          <w:rFonts w:ascii="Arial" w:cs="Arial" w:eastAsia="Arial" w:hAnsi="Arial"/>
          <w:b/>
          <w:bCs/>
          <w:color w:val="2C5282"/>
          <w:sz w:val="22"/>
          <w:szCs w:val="22"/>
        </w:rPr>
        <w:t xml:space="preserve">3.4 Reproducibility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All queries in this document can be re-executed against the source database to reproduce the CSV outputs included in this audit package. The only post-processing step not captured in SQL is the Russian lemma merging (Section 2.5), which uses a deterministic mapping table and is fully documented.</w:t>
      </w:r>
    </w:p>
    <w:p>
      <w:pPr>
        <w:spacing w:after="100" w:before="100"/>
      </w:pPr>
    </w:p>
    <w:p>
      <w:pPr>
        <w:pBdr>
          <w:bottom w:val="single" w:color="2C5282" w:sz="6" w:space="4"/>
        </w:pBdr>
        <w:spacing w:after="120" w:before="300"/>
      </w:pPr>
      <w:r>
        <w:rPr>
          <w:rFonts w:ascii="Arial" w:cs="Arial" w:eastAsia="Arial" w:hAnsi="Arial"/>
          <w:b/>
          <w:bCs/>
          <w:color w:val="1A365D"/>
          <w:sz w:val="26"/>
          <w:szCs w:val="26"/>
        </w:rPr>
        <w:t xml:space="preserve">4. File Manifest</w:t>
      </w:r>
    </w:p>
    <w:p>
      <w:pPr>
        <w:spacing w:before="8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56"/>
        <w:gridCol w:w="2256"/>
        <w:gridCol w:w="2256"/>
        <w:gridCol w:w="2258"/>
      </w:tblGrid>
      <w:tr>
        <w:tc>
          <w:tcPr>
            <w:tcW w:type="dxa" w:w="2256"/>
            <w:tcBorders>
              <w:top w:val="single" w:color="2D3748" w:sz="12"/>
              <w:left w:val="none" w:color="FFFFFF" w:sz="0"/>
              <w:bottom w:val="single" w:color="2D3748" w:sz="6"/>
              <w:right w:val="none" w:color="FFFFFF" w:sz="0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b/>
                <w:bCs/>
                <w:color w:val="1A365D"/>
                <w:sz w:val="17"/>
                <w:szCs w:val="17"/>
              </w:rPr>
              <w:t xml:space="preserve">File</w:t>
            </w:r>
          </w:p>
        </w:tc>
        <w:tc>
          <w:tcPr>
            <w:tcW w:type="dxa" w:w="2256"/>
            <w:tcBorders>
              <w:top w:val="single" w:color="2D3748" w:sz="12"/>
              <w:left w:val="none" w:color="FFFFFF" w:sz="0"/>
              <w:bottom w:val="single" w:color="2D3748" w:sz="6"/>
              <w:right w:val="none" w:color="FFFFFF" w:sz="0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b/>
                <w:bCs/>
                <w:color w:val="1A365D"/>
                <w:sz w:val="17"/>
                <w:szCs w:val="17"/>
              </w:rPr>
              <w:t xml:space="preserve">Description</w:t>
            </w:r>
          </w:p>
        </w:tc>
        <w:tc>
          <w:tcPr>
            <w:tcW w:type="dxa" w:w="2256"/>
            <w:tcBorders>
              <w:top w:val="single" w:color="2D3748" w:sz="12"/>
              <w:left w:val="none" w:color="FFFFFF" w:sz="0"/>
              <w:bottom w:val="single" w:color="2D3748" w:sz="6"/>
              <w:right w:val="none" w:color="FFFFFF" w:sz="0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b/>
                <w:bCs/>
                <w:color w:val="1A365D"/>
                <w:sz w:val="17"/>
                <w:szCs w:val="17"/>
              </w:rPr>
              <w:t xml:space="preserve">Rows</w:t>
            </w:r>
          </w:p>
        </w:tc>
        <w:tc>
          <w:tcPr>
            <w:tcW w:type="dxa" w:w="2258"/>
            <w:tcBorders>
              <w:top w:val="single" w:color="2D3748" w:sz="12"/>
              <w:left w:val="none" w:color="FFFFFF" w:sz="0"/>
              <w:bottom w:val="single" w:color="2D3748" w:sz="6"/>
              <w:right w:val="none" w:color="FFFFFF" w:sz="0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b/>
                <w:bCs/>
                <w:color w:val="1A365D"/>
                <w:sz w:val="17"/>
                <w:szCs w:val="17"/>
              </w:rPr>
              <w:t xml:space="preserve">Key Fields</w:t>
            </w:r>
          </w:p>
        </w:tc>
      </w:tr>
      <w:tr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Courier New" w:cs="Courier New" w:eastAsia="Courier New" w:hAnsi="Courier New"/>
                <w:color w:val="2D3748"/>
                <w:sz w:val="17"/>
                <w:szCs w:val="17"/>
              </w:rPr>
              <w:t xml:space="preserve">`Q1-quarterly-overview.csv`</w:t>
            </w:r>
          </w:p>
        </w:tc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Quarterly totals by country (Q1 2026, Q4 2025, Q1 2025)</w:t>
            </w:r>
          </w:p>
        </w:tc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12</w:t>
            </w:r>
          </w:p>
        </w:tc>
        <w:tc>
          <w:tcPr>
            <w:tcW w:type="dxa" w:w="225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quarter, country, total, or_count, and_count, f_ratio</w:t>
            </w:r>
          </w:p>
        </w:tc>
      </w:tr>
      <w:tr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Courier New" w:cs="Courier New" w:eastAsia="Courier New" w:hAnsi="Courier New"/>
                <w:color w:val="2D3748"/>
                <w:sz w:val="17"/>
                <w:szCs w:val="17"/>
              </w:rPr>
              <w:t xml:space="preserve">`Q2-monthly-trend.csv`</w:t>
            </w:r>
          </w:p>
        </w:tc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Monthly breakdown within Q1 2026 by country</w:t>
            </w:r>
          </w:p>
        </w:tc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12</w:t>
            </w:r>
          </w:p>
        </w:tc>
        <w:tc>
          <w:tcPr>
            <w:tcW w:type="dxa" w:w="225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month, country, total, or_count, and_count, f_ratio</w:t>
            </w:r>
          </w:p>
        </w:tc>
      </w:tr>
      <w:tr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Courier New" w:cs="Courier New" w:eastAsia="Courier New" w:hAnsi="Courier New"/>
                <w:color w:val="2D3748"/>
                <w:sz w:val="17"/>
                <w:szCs w:val="17"/>
              </w:rPr>
              <w:t xml:space="preserve">`Q3-weekly-trend.csv`</w:t>
            </w:r>
          </w:p>
        </w:tc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Weekly trend across Q1 2026 (all countries aggregated)</w:t>
            </w:r>
          </w:p>
        </w:tc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14</w:t>
            </w:r>
          </w:p>
        </w:tc>
        <w:tc>
          <w:tcPr>
            <w:tcW w:type="dxa" w:w="225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week_num, week_start, week_end, total, hit_or, hit_and, f_ratio</w:t>
            </w:r>
          </w:p>
        </w:tc>
      </w:tr>
      <w:tr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Courier New" w:cs="Courier New" w:eastAsia="Courier New" w:hAnsi="Courier New"/>
                <w:color w:val="2D3748"/>
                <w:sz w:val="17"/>
                <w:szCs w:val="17"/>
              </w:rPr>
              <w:t xml:space="preserve">`Q4-site-contribution.csv`</w:t>
            </w:r>
          </w:p>
        </w:tc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Per-outlet contribution matrix</w:t>
            </w:r>
          </w:p>
        </w:tc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8</w:t>
            </w:r>
          </w:p>
        </w:tc>
        <w:tc>
          <w:tcPr>
            <w:tcW w:type="dxa" w:w="225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country, site, total, or_count, and_count, f_ratio</w:t>
            </w:r>
          </w:p>
        </w:tc>
      </w:tr>
      <w:tr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Courier New" w:cs="Courier New" w:eastAsia="Courier New" w:hAnsi="Courier New"/>
                <w:color w:val="2D3748"/>
                <w:sz w:val="17"/>
                <w:szCs w:val="17"/>
              </w:rPr>
              <w:t xml:space="preserve">`Q5-top-keywords-global.csv`</w:t>
            </w:r>
          </w:p>
        </w:tc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Top keywords by T/P/U category (raw forms)</w:t>
            </w:r>
          </w:p>
        </w:tc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60</w:t>
            </w:r>
          </w:p>
        </w:tc>
        <w:tc>
          <w:tcPr>
            <w:tcW w:type="dxa" w:w="225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kw_type, kw_value, freq</w:t>
            </w:r>
          </w:p>
        </w:tc>
      </w:tr>
      <w:tr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Courier New" w:cs="Courier New" w:eastAsia="Courier New" w:hAnsi="Courier New"/>
                <w:color w:val="2D3748"/>
                <w:sz w:val="17"/>
                <w:szCs w:val="17"/>
              </w:rPr>
              <w:t xml:space="preserve">`Q6-top-keywords-by-country.csv`</w:t>
            </w:r>
          </w:p>
        </w:tc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Top 10 keywords per country × category (raw forms)</w:t>
            </w:r>
          </w:p>
        </w:tc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120</w:t>
            </w:r>
          </w:p>
        </w:tc>
        <w:tc>
          <w:tcPr>
            <w:tcW w:type="dxa" w:w="225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country, kw_type, kw_value, freq</w:t>
            </w:r>
          </w:p>
        </w:tc>
      </w:tr>
      <w:tr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Courier New" w:cs="Courier New" w:eastAsia="Courier New" w:hAnsi="Courier New"/>
                <w:color w:val="2D3748"/>
                <w:sz w:val="17"/>
                <w:szCs w:val="17"/>
              </w:rPr>
              <w:t xml:space="preserve">`Q7-keyword-yoy-change.csv`</w:t>
            </w:r>
          </w:p>
        </w:tc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YoY keyword frequency changes (Q1 2026 vs Q1 2025)</w:t>
            </w:r>
          </w:p>
        </w:tc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30</w:t>
            </w:r>
          </w:p>
        </w:tc>
        <w:tc>
          <w:tcPr>
            <w:tcW w:type="dxa" w:w="225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kw_type, kw_value, freq_2026, freq_2025, change</w:t>
            </w:r>
          </w:p>
        </w:tc>
      </w:tr>
      <w:tr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Courier New" w:cs="Courier New" w:eastAsia="Courier New" w:hAnsi="Courier New"/>
                <w:color w:val="2D3748"/>
                <w:sz w:val="17"/>
                <w:szCs w:val="17"/>
              </w:rPr>
              <w:t xml:space="preserve">`Q8-8quarter-fratio-trend.csv`</w:t>
            </w:r>
          </w:p>
        </w:tc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8-quarter f_ratio by country (2024-Q1 to 2026-Q1)</w:t>
            </w:r>
          </w:p>
        </w:tc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36</w:t>
            </w:r>
          </w:p>
        </w:tc>
        <w:tc>
          <w:tcPr>
            <w:tcW w:type="dxa" w:w="225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yr, qtr, country, total, or_count, and_count, f_ratio</w:t>
            </w:r>
          </w:p>
        </w:tc>
      </w:tr>
      <w:tr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Courier New" w:cs="Courier New" w:eastAsia="Courier New" w:hAnsi="Courier New"/>
                <w:color w:val="2D3748"/>
                <w:sz w:val="17"/>
                <w:szCs w:val="17"/>
              </w:rPr>
              <w:t xml:space="preserve">`METHODOLOGY-EN.md`</w:t>
            </w:r>
          </w:p>
        </w:tc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This document (English)</w:t>
            </w:r>
          </w:p>
        </w:tc>
        <w:tc>
          <w:tcPr>
            <w:tcW w:type="dxa" w:w="225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—</w:t>
            </w:r>
          </w:p>
        </w:tc>
        <w:tc>
          <w:tcPr>
            <w:tcW w:type="dxa" w:w="225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—</w:t>
            </w:r>
          </w:p>
        </w:tc>
      </w:tr>
      <w:tr>
        <w:tc>
          <w:tcPr>
            <w:tcW w:type="dxa" w:w="2256"/>
            <w:tcBorders>
              <w:top w:val="none" w:color="FFFFFF" w:sz="0"/>
              <w:left w:val="none" w:color="FFFFFF" w:sz="0"/>
              <w:bottom w:val="single" w:color="2D3748" w:sz="12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Courier New" w:cs="Courier New" w:eastAsia="Courier New" w:hAnsi="Courier New"/>
                <w:color w:val="2D3748"/>
                <w:sz w:val="17"/>
                <w:szCs w:val="17"/>
              </w:rPr>
              <w:t xml:space="preserve">`METHODOLOGY-CN.md`</w:t>
            </w:r>
          </w:p>
        </w:tc>
        <w:tc>
          <w:tcPr>
            <w:tcW w:type="dxa" w:w="2256"/>
            <w:tcBorders>
              <w:top w:val="none" w:color="FFFFFF" w:sz="0"/>
              <w:left w:val="none" w:color="FFFFFF" w:sz="0"/>
              <w:bottom w:val="single" w:color="2D3748" w:sz="12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This document (Chinese)</w:t>
            </w:r>
          </w:p>
        </w:tc>
        <w:tc>
          <w:tcPr>
            <w:tcW w:type="dxa" w:w="2256"/>
            <w:tcBorders>
              <w:top w:val="none" w:color="FFFFFF" w:sz="0"/>
              <w:left w:val="none" w:color="FFFFFF" w:sz="0"/>
              <w:bottom w:val="single" w:color="2D3748" w:sz="12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—</w:t>
            </w:r>
          </w:p>
        </w:tc>
        <w:tc>
          <w:tcPr>
            <w:tcW w:type="dxa" w:w="2258"/>
            <w:tcBorders>
              <w:top w:val="none" w:color="FFFFFF" w:sz="0"/>
              <w:left w:val="none" w:color="FFFFFF" w:sz="0"/>
              <w:bottom w:val="single" w:color="2D3748" w:sz="12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line="240"/>
            </w:pPr>
            <w:r>
              <w:rPr>
                <w:rFonts w:ascii="Arial" w:cs="Arial" w:eastAsia="Arial" w:hAnsi="Arial"/>
                <w:color w:val="2D3748"/>
                <w:sz w:val="17"/>
                <w:szCs w:val="17"/>
              </w:rPr>
              <w:t xml:space="preserve">—</w:t>
            </w:r>
          </w:p>
        </w:tc>
      </w:tr>
    </w:tbl>
    <w:p>
      <w:pPr>
        <w:spacing w:after="80"/>
      </w:pPr>
    </w:p>
    <w:p>
      <w:pPr>
        <w:spacing w:after="100" w:before="100"/>
      </w:pP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*CA-TPU Index Project · School of Economics and Management, Xinjiang University*  </w:t>
      </w:r>
    </w:p>
    <w:p>
      <w:pPr>
        <w:spacing w:after="120" w:line="340"/>
        <w:jc w:val="both"/>
      </w:pPr>
      <w:r>
        <w:rPr>
          <w:rFonts w:ascii="Arial" w:cs="Arial" w:eastAsia="Arial" w:hAnsi="Arial"/>
          <w:color w:val="2D3748"/>
          <w:sz w:val="20"/>
          <w:szCs w:val="20"/>
        </w:rPr>
        <w:t xml:space="preserve">*catpu.caiees.cn*</w:t>
      </w:r>
    </w:p>
    <w:sectPr>
      <w:headerReference w:type="default" r:id="rId7"/>
      <w:footerReference w:type="default" r:id="rId8"/>
      <w:pgSz w:w="11906" w:h="16838" w:orient="portrait"/>
      <w:pgMar w:top="180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E2E8F0" w:sz="3" w:space="4"/>
      </w:pBdr>
      <w:tabs>
        <w:tab w:val="center" w:pos="4500"/>
        <w:tab w:val="right" w:pos="9026"/>
      </w:tabs>
    </w:pPr>
    <w:r>
      <w:rPr>
        <w:rFonts w:ascii="Arial" w:cs="Arial" w:eastAsia="Arial" w:hAnsi="Arial"/>
        <w:color w:val="A0AEC0"/>
        <w:sz w:val="12"/>
        <w:szCs w:val="12"/>
      </w:rPr>
      <w:t xml:space="preserve">CA-TPU Index Project · Xinjiang University</w:t>
    </w:r>
    <w:r>
      <w:t xml:space="preserve">	</w:t>
    </w:r>
    <w:r>
      <w:rPr>
        <w:rFonts w:ascii="Arial" w:cs="Arial" w:eastAsia="Arial" w:hAnsi="Arial"/>
        <w:color w:val="A0AEC0"/>
        <w:sz w:val="12"/>
        <w:szCs w:val="12"/>
      </w:rPr>
      <w:t xml:space="preserve">catpu.caiees.cn</w:t>
    </w:r>
    <w:r>
      <w:t xml:space="preserve">	</w:t>
    </w:r>
    <w:r>
      <w:rPr>
        <w:rFonts w:ascii="Arial" w:cs="Arial" w:eastAsia="Arial" w:hAnsi="Arial"/>
        <w:color w:val="A0AEC0"/>
        <w:sz w:val="12"/>
        <w:szCs w:val="12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C5282" w:sz="3" w:space="4"/>
      </w:pBdr>
      <w:tabs>
        <w:tab w:val="right" w:pos="9026"/>
      </w:tabs>
    </w:pPr>
    <w:r>
      <w:rPr>
        <w:rFonts w:ascii="Arial" w:cs="Arial" w:eastAsia="Arial" w:hAnsi="Arial"/>
        <w:color w:val="A0AEC0"/>
        <w:sz w:val="14"/>
        <w:szCs w:val="14"/>
      </w:rPr>
      <w:t xml:space="preserve">CA-TPU Q1 2026 Data Audit Package</w:t>
    </w:r>
    <w:r>
      <w:t xml:space="preserve">	</w:t>
    </w:r>
    <w:r>
      <w:rPr>
        <w:rFonts w:ascii="Arial" w:cs="Arial" w:eastAsia="Arial" w:hAnsi="Arial"/>
        <w:color w:val="A0AEC0"/>
        <w:sz w:val="14"/>
        <w:szCs w:val="14"/>
      </w:rPr>
      <w:t xml:space="preserve">Methodology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2026-04-28T16:46:15.494Z</dcterms:created>
  <dcterms:modified xsi:type="dcterms:W3CDTF">2026-04-28T16:46:15.494Z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